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41054" w:rsidRPr="00882976" w:rsidRDefault="005B32A6" w:rsidP="003D58F1">
      <w:pPr>
        <w:autoSpaceDE/>
        <w:autoSpaceDN/>
        <w:adjustRightInd/>
        <w:spacing w:after="0"/>
        <w:jc w:val="left"/>
        <w:rPr>
          <w:rFonts w:cs="Arial"/>
        </w:rPr>
        <w:sectPr w:rsidR="00641054" w:rsidRPr="00882976"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882976">
        <w:rPr>
          <w:rFont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5869940</wp:posOffset>
                </wp:positionV>
                <wp:extent cx="6640195" cy="22193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3B9" w:rsidRDefault="00433270" w:rsidP="0037393E">
                            <w:pPr>
                              <w:spacing w:after="0"/>
                              <w:ind w:right="-46"/>
                              <w:jc w:val="left"/>
                              <w:rPr>
                                <w:rFonts w:cs="Arial"/>
                                <w:b/>
                                <w:bCs/>
                                <w:sz w:val="52"/>
                                <w:szCs w:val="52"/>
                              </w:rPr>
                            </w:pPr>
                          </w:p>
                          <w:p w:rsidR="007D73B9" w:rsidRDefault="005B32A6" w:rsidP="0037393E">
                            <w:pPr>
                              <w:spacing w:after="0"/>
                              <w:ind w:right="-46"/>
                              <w:jc w:val="left"/>
                              <w:rPr>
                                <w:rFonts w:cs="Arial"/>
                                <w:b/>
                                <w:bCs/>
                                <w:sz w:val="52"/>
                                <w:szCs w:val="52"/>
                              </w:rPr>
                            </w:pPr>
                            <w:r>
                              <w:rPr>
                                <w:rFonts w:cs="Arial"/>
                                <w:b/>
                                <w:bCs/>
                                <w:sz w:val="52"/>
                                <w:szCs w:val="52"/>
                              </w:rPr>
                              <w:t xml:space="preserve">Money Matters - </w:t>
                            </w:r>
                          </w:p>
                          <w:p w:rsidR="007D73B9" w:rsidRPr="0037393E" w:rsidRDefault="005B32A6" w:rsidP="0037393E">
                            <w:pPr>
                              <w:spacing w:after="0"/>
                              <w:ind w:right="-46"/>
                              <w:jc w:val="left"/>
                              <w:rPr>
                                <w:rFonts w:cs="Arial"/>
                                <w:b/>
                                <w:bCs/>
                                <w:sz w:val="52"/>
                                <w:szCs w:val="52"/>
                              </w:rPr>
                            </w:pPr>
                            <w:r>
                              <w:rPr>
                                <w:rFonts w:cs="Arial"/>
                                <w:b/>
                                <w:bCs/>
                                <w:sz w:val="52"/>
                                <w:szCs w:val="52"/>
                              </w:rPr>
                              <w:t>Additional Savings 2018/19 – 2020/21</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174.75pt;margin-top:462.2pt;margin-left:-26.8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D73B9" w:rsidP="0037393E">
                      <w:pPr>
                        <w:spacing w:after="0"/>
                        <w:ind w:right="-46"/>
                        <w:jc w:val="left"/>
                        <w:rPr>
                          <w:rFonts w:cs="Arial"/>
                          <w:b/>
                          <w:bCs/>
                          <w:sz w:val="52"/>
                          <w:szCs w:val="52"/>
                        </w:rPr>
                      </w:pPr>
                    </w:p>
                    <w:p w:rsidR="007D73B9" w:rsidP="0037393E">
                      <w:pPr>
                        <w:spacing w:after="0"/>
                        <w:ind w:right="-46"/>
                        <w:jc w:val="left"/>
                        <w:rPr>
                          <w:rFonts w:cs="Arial"/>
                          <w:b/>
                          <w:bCs/>
                          <w:sz w:val="52"/>
                          <w:szCs w:val="52"/>
                        </w:rPr>
                      </w:pPr>
                      <w:r>
                        <w:rPr>
                          <w:rFonts w:cs="Arial"/>
                          <w:b/>
                          <w:bCs/>
                          <w:sz w:val="52"/>
                          <w:szCs w:val="52"/>
                        </w:rPr>
                        <w:t xml:space="preserve">Money Matters - </w:t>
                      </w:r>
                    </w:p>
                    <w:p w:rsidR="007D73B9" w:rsidRPr="0037393E" w:rsidP="0037393E">
                      <w:pPr>
                        <w:spacing w:after="0"/>
                        <w:ind w:right="-46"/>
                        <w:jc w:val="left"/>
                        <w:rPr>
                          <w:rFonts w:cs="Arial"/>
                          <w:b/>
                          <w:bCs/>
                          <w:sz w:val="52"/>
                          <w:szCs w:val="52"/>
                        </w:rPr>
                      </w:pPr>
                      <w:r>
                        <w:rPr>
                          <w:rFonts w:cs="Arial"/>
                          <w:b/>
                          <w:bCs/>
                          <w:sz w:val="52"/>
                          <w:szCs w:val="52"/>
                        </w:rPr>
                        <w:t>Additional Savings 2018/19 – 2020/21</w:t>
                      </w:r>
                    </w:p>
                  </w:txbxContent>
                </v:textbox>
              </v:shape>
            </w:pict>
          </mc:Fallback>
        </mc:AlternateContent>
      </w:r>
    </w:p>
    <w:tbl>
      <w:tblPr>
        <w:tblStyle w:val="TableGrid"/>
        <w:tblW w:w="0" w:type="auto"/>
        <w:tblLook w:val="04A0" w:firstRow="1" w:lastRow="0" w:firstColumn="1" w:lastColumn="0" w:noHBand="0" w:noVBand="1"/>
      </w:tblPr>
      <w:tblGrid>
        <w:gridCol w:w="562"/>
        <w:gridCol w:w="7371"/>
        <w:gridCol w:w="1083"/>
      </w:tblGrid>
      <w:tr w:rsidR="00A00B5F" w:rsidTr="009572FD">
        <w:trPr>
          <w:trHeight w:val="699"/>
        </w:trPr>
        <w:tc>
          <w:tcPr>
            <w:tcW w:w="562" w:type="dxa"/>
            <w:vAlign w:val="center"/>
          </w:tcPr>
          <w:p w:rsidR="008150B9" w:rsidRPr="00882976" w:rsidRDefault="00433270" w:rsidP="009572FD">
            <w:pPr>
              <w:spacing w:after="0"/>
              <w:ind w:right="-46"/>
              <w:jc w:val="center"/>
              <w:rPr>
                <w:rFonts w:cs="Arial"/>
                <w:b/>
                <w:bCs/>
              </w:rPr>
            </w:pPr>
          </w:p>
        </w:tc>
        <w:tc>
          <w:tcPr>
            <w:tcW w:w="7371" w:type="dxa"/>
            <w:vAlign w:val="center"/>
          </w:tcPr>
          <w:p w:rsidR="008150B9" w:rsidRPr="00882976" w:rsidRDefault="005B32A6" w:rsidP="00E3207E">
            <w:pPr>
              <w:tabs>
                <w:tab w:val="left" w:pos="1310"/>
                <w:tab w:val="left" w:pos="1735"/>
              </w:tabs>
              <w:spacing w:after="0"/>
              <w:ind w:left="34" w:right="-46"/>
              <w:jc w:val="center"/>
              <w:rPr>
                <w:rFonts w:cs="Arial"/>
                <w:b/>
                <w:bCs/>
              </w:rPr>
            </w:pPr>
            <w:r w:rsidRPr="00882976">
              <w:rPr>
                <w:rFonts w:cs="Arial"/>
                <w:b/>
                <w:bCs/>
              </w:rPr>
              <w:t>Contents</w:t>
            </w:r>
          </w:p>
        </w:tc>
        <w:tc>
          <w:tcPr>
            <w:tcW w:w="1083" w:type="dxa"/>
            <w:vAlign w:val="center"/>
          </w:tcPr>
          <w:p w:rsidR="008150B9" w:rsidRPr="00882976" w:rsidRDefault="005B32A6" w:rsidP="009572FD">
            <w:pPr>
              <w:spacing w:after="0"/>
              <w:ind w:right="-46"/>
              <w:jc w:val="center"/>
              <w:rPr>
                <w:rFonts w:cs="Arial"/>
                <w:b/>
                <w:bCs/>
              </w:rPr>
            </w:pPr>
            <w:r w:rsidRPr="00882976">
              <w:rPr>
                <w:rFonts w:cs="Arial"/>
                <w:b/>
                <w:bCs/>
              </w:rPr>
              <w:t>Page</w:t>
            </w:r>
          </w:p>
        </w:tc>
      </w:tr>
      <w:tr w:rsidR="00A00B5F" w:rsidTr="009572FD">
        <w:trPr>
          <w:trHeight w:val="567"/>
        </w:trPr>
        <w:tc>
          <w:tcPr>
            <w:tcW w:w="562" w:type="dxa"/>
            <w:vAlign w:val="center"/>
          </w:tcPr>
          <w:p w:rsidR="008150B9" w:rsidRPr="00AF11DF" w:rsidRDefault="005B32A6" w:rsidP="009572FD">
            <w:pPr>
              <w:spacing w:after="0"/>
              <w:ind w:right="-46"/>
              <w:jc w:val="center"/>
              <w:rPr>
                <w:rFonts w:cs="Arial"/>
                <w:bCs/>
              </w:rPr>
            </w:pPr>
            <w:r>
              <w:rPr>
                <w:rFonts w:cs="Arial"/>
                <w:bCs/>
              </w:rPr>
              <w:t>1</w:t>
            </w:r>
          </w:p>
        </w:tc>
        <w:tc>
          <w:tcPr>
            <w:tcW w:w="7371" w:type="dxa"/>
            <w:vAlign w:val="center"/>
          </w:tcPr>
          <w:p w:rsidR="000A747F" w:rsidRPr="00AF11DF" w:rsidRDefault="005B32A6" w:rsidP="007A48C8">
            <w:pPr>
              <w:tabs>
                <w:tab w:val="left" w:pos="1310"/>
                <w:tab w:val="left" w:pos="1735"/>
              </w:tabs>
              <w:spacing w:after="0"/>
              <w:ind w:left="34" w:right="-46"/>
              <w:jc w:val="left"/>
              <w:rPr>
                <w:rFonts w:cs="Arial"/>
                <w:bCs/>
              </w:rPr>
            </w:pPr>
            <w:r>
              <w:rPr>
                <w:rFonts w:cs="Arial"/>
                <w:bCs/>
              </w:rPr>
              <w:t>CORP001 – VACANCY FACTOR</w:t>
            </w:r>
          </w:p>
        </w:tc>
        <w:tc>
          <w:tcPr>
            <w:tcW w:w="1083" w:type="dxa"/>
            <w:vAlign w:val="center"/>
          </w:tcPr>
          <w:p w:rsidR="008150B9" w:rsidRPr="00AF11DF" w:rsidRDefault="005B32A6" w:rsidP="009572FD">
            <w:pPr>
              <w:spacing w:after="0"/>
              <w:ind w:right="-46"/>
              <w:jc w:val="center"/>
              <w:rPr>
                <w:rFonts w:cs="Arial"/>
                <w:bCs/>
              </w:rPr>
            </w:pPr>
            <w:r>
              <w:rPr>
                <w:rFonts w:cs="Arial"/>
                <w:bCs/>
              </w:rPr>
              <w:t>3</w:t>
            </w:r>
          </w:p>
        </w:tc>
      </w:tr>
      <w:tr w:rsidR="00A00B5F" w:rsidTr="009572FD">
        <w:trPr>
          <w:trHeight w:val="567"/>
        </w:trPr>
        <w:tc>
          <w:tcPr>
            <w:tcW w:w="562" w:type="dxa"/>
            <w:vAlign w:val="center"/>
          </w:tcPr>
          <w:p w:rsidR="00AF11DF" w:rsidRPr="00AF11DF" w:rsidRDefault="005B32A6" w:rsidP="009572FD">
            <w:pPr>
              <w:spacing w:after="0"/>
              <w:ind w:right="-46"/>
              <w:jc w:val="center"/>
              <w:rPr>
                <w:rFonts w:cs="Arial"/>
                <w:bCs/>
              </w:rPr>
            </w:pPr>
            <w:r>
              <w:rPr>
                <w:rFonts w:cs="Arial"/>
                <w:bCs/>
              </w:rPr>
              <w:t>2</w:t>
            </w:r>
          </w:p>
        </w:tc>
        <w:tc>
          <w:tcPr>
            <w:tcW w:w="7371" w:type="dxa"/>
            <w:vAlign w:val="center"/>
          </w:tcPr>
          <w:p w:rsidR="00AF11DF" w:rsidRPr="00AF11DF" w:rsidRDefault="005B32A6" w:rsidP="00E3207E">
            <w:pPr>
              <w:tabs>
                <w:tab w:val="left" w:pos="1310"/>
                <w:tab w:val="left" w:pos="1735"/>
              </w:tabs>
              <w:spacing w:after="0"/>
              <w:ind w:left="34" w:right="-46"/>
              <w:jc w:val="left"/>
              <w:rPr>
                <w:rFonts w:cs="Arial"/>
                <w:bCs/>
              </w:rPr>
            </w:pPr>
            <w:r w:rsidRPr="007A48C8">
              <w:rPr>
                <w:rFonts w:cs="Arial"/>
                <w:bCs/>
              </w:rPr>
              <w:t>CORP002 – FOUNDATION LIVING WAGE</w:t>
            </w:r>
          </w:p>
        </w:tc>
        <w:tc>
          <w:tcPr>
            <w:tcW w:w="1083" w:type="dxa"/>
            <w:vAlign w:val="center"/>
          </w:tcPr>
          <w:p w:rsidR="00AF11DF" w:rsidRPr="00AF11DF" w:rsidRDefault="005B32A6" w:rsidP="009572FD">
            <w:pPr>
              <w:spacing w:after="0"/>
              <w:ind w:right="-46"/>
              <w:jc w:val="center"/>
              <w:rPr>
                <w:rFonts w:cs="Arial"/>
                <w:bCs/>
              </w:rPr>
            </w:pPr>
            <w:r>
              <w:rPr>
                <w:rFonts w:cs="Arial"/>
                <w:bCs/>
              </w:rPr>
              <w:t>5</w:t>
            </w:r>
          </w:p>
        </w:tc>
      </w:tr>
      <w:tr w:rsidR="00A00B5F" w:rsidTr="009572FD">
        <w:trPr>
          <w:trHeight w:val="567"/>
        </w:trPr>
        <w:tc>
          <w:tcPr>
            <w:tcW w:w="562" w:type="dxa"/>
            <w:vAlign w:val="center"/>
          </w:tcPr>
          <w:p w:rsidR="00AF11DF" w:rsidRPr="00AF11DF" w:rsidRDefault="005B32A6" w:rsidP="009572FD">
            <w:pPr>
              <w:spacing w:after="0"/>
              <w:ind w:right="-46"/>
              <w:jc w:val="center"/>
              <w:rPr>
                <w:rFonts w:cs="Arial"/>
                <w:bCs/>
              </w:rPr>
            </w:pPr>
            <w:r>
              <w:rPr>
                <w:rFonts w:cs="Arial"/>
                <w:bCs/>
              </w:rPr>
              <w:t>3</w:t>
            </w:r>
          </w:p>
        </w:tc>
        <w:tc>
          <w:tcPr>
            <w:tcW w:w="7371" w:type="dxa"/>
            <w:vAlign w:val="center"/>
          </w:tcPr>
          <w:p w:rsidR="00AF11DF" w:rsidRPr="00AF11DF" w:rsidRDefault="005B32A6" w:rsidP="00E3207E">
            <w:pPr>
              <w:tabs>
                <w:tab w:val="left" w:pos="1310"/>
                <w:tab w:val="left" w:pos="1735"/>
              </w:tabs>
              <w:spacing w:after="0"/>
              <w:ind w:left="34" w:right="-46"/>
              <w:jc w:val="left"/>
              <w:rPr>
                <w:rFonts w:cs="Arial"/>
                <w:bCs/>
              </w:rPr>
            </w:pPr>
            <w:r w:rsidRPr="007A48C8">
              <w:rPr>
                <w:rFonts w:cs="Arial"/>
                <w:bCs/>
              </w:rPr>
              <w:t>CORP003 – TERMS AND CONDITIONS</w:t>
            </w:r>
          </w:p>
        </w:tc>
        <w:tc>
          <w:tcPr>
            <w:tcW w:w="1083" w:type="dxa"/>
            <w:vAlign w:val="center"/>
          </w:tcPr>
          <w:p w:rsidR="00AF11DF" w:rsidRPr="00AF11DF" w:rsidRDefault="005B32A6" w:rsidP="009572FD">
            <w:pPr>
              <w:spacing w:after="0"/>
              <w:ind w:right="-46"/>
              <w:jc w:val="center"/>
              <w:rPr>
                <w:rFonts w:cs="Arial"/>
                <w:bCs/>
              </w:rPr>
            </w:pPr>
            <w:r>
              <w:rPr>
                <w:rFonts w:cs="Arial"/>
                <w:bCs/>
              </w:rPr>
              <w:t>20</w:t>
            </w:r>
          </w:p>
        </w:tc>
      </w:tr>
    </w:tbl>
    <w:p w:rsidR="0037393E" w:rsidRPr="00882976" w:rsidRDefault="00433270" w:rsidP="003D58F1">
      <w:pPr>
        <w:spacing w:after="0"/>
        <w:ind w:right="-46"/>
        <w:rPr>
          <w:rFonts w:cs="Arial"/>
          <w:b/>
          <w:bCs/>
        </w:rPr>
      </w:pPr>
    </w:p>
    <w:p w:rsidR="007A48C8" w:rsidRPr="00C15723" w:rsidRDefault="005B32A6" w:rsidP="007A48C8">
      <w:pPr>
        <w:rPr>
          <w:rFonts w:eastAsiaTheme="minorHAnsi"/>
          <w:b/>
          <w:u w:val="single"/>
        </w:rPr>
      </w:pPr>
      <w:r w:rsidRPr="00882976">
        <w:rPr>
          <w:rFonts w:cs="Arial"/>
          <w:b/>
        </w:rPr>
        <w:br w:type="page"/>
      </w:r>
      <w:r>
        <w:rPr>
          <w:rFonts w:eastAsiaTheme="minorHAnsi"/>
          <w:b/>
          <w:u w:val="single"/>
        </w:rPr>
        <w:lastRenderedPageBreak/>
        <w:t>CORP001 – VACANCY FACTOR</w:t>
      </w:r>
    </w:p>
    <w:p w:rsidR="007A48C8" w:rsidRPr="006F2802" w:rsidRDefault="00433270" w:rsidP="007A48C8">
      <w:pPr>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151"/>
        <w:gridCol w:w="425"/>
        <w:gridCol w:w="1678"/>
        <w:gridCol w:w="165"/>
        <w:gridCol w:w="146"/>
        <w:gridCol w:w="1943"/>
        <w:gridCol w:w="37"/>
        <w:gridCol w:w="2217"/>
      </w:tblGrid>
      <w:tr w:rsidR="00A00B5F" w:rsidTr="00CA4A8D">
        <w:tc>
          <w:tcPr>
            <w:tcW w:w="4819" w:type="dxa"/>
            <w:gridSpan w:val="6"/>
          </w:tcPr>
          <w:p w:rsidR="007A48C8" w:rsidRDefault="005B32A6" w:rsidP="007A48C8">
            <w:pPr>
              <w:jc w:val="left"/>
              <w:rPr>
                <w:b/>
              </w:rPr>
            </w:pPr>
            <w:r>
              <w:rPr>
                <w:b/>
              </w:rPr>
              <w:t>Service Name:</w:t>
            </w:r>
            <w:r w:rsidRPr="006F2802">
              <w:rPr>
                <w:b/>
              </w:rPr>
              <w:br/>
            </w:r>
          </w:p>
          <w:p w:rsidR="007A48C8" w:rsidRPr="006F2802" w:rsidRDefault="00433270" w:rsidP="007A48C8">
            <w:pPr>
              <w:jc w:val="left"/>
              <w:rPr>
                <w:b/>
              </w:rPr>
            </w:pPr>
          </w:p>
        </w:tc>
        <w:tc>
          <w:tcPr>
            <w:tcW w:w="4197" w:type="dxa"/>
            <w:gridSpan w:val="3"/>
          </w:tcPr>
          <w:p w:rsidR="007A48C8" w:rsidRPr="00835DB6" w:rsidRDefault="005B32A6" w:rsidP="00CA4A8D">
            <w:pPr>
              <w:jc w:val="center"/>
            </w:pPr>
            <w:r>
              <w:t xml:space="preserve">LCC Wide – Staffing Budgets </w:t>
            </w:r>
          </w:p>
        </w:tc>
      </w:tr>
      <w:tr w:rsidR="00A00B5F" w:rsidTr="00CA4A8D">
        <w:trPr>
          <w:trHeight w:val="911"/>
        </w:trPr>
        <w:tc>
          <w:tcPr>
            <w:tcW w:w="4819" w:type="dxa"/>
            <w:gridSpan w:val="6"/>
          </w:tcPr>
          <w:p w:rsidR="007A48C8" w:rsidRPr="000678CE" w:rsidRDefault="005B32A6" w:rsidP="007A48C8">
            <w:pPr>
              <w:jc w:val="left"/>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rsidR="007A48C8" w:rsidRPr="006F2802" w:rsidRDefault="005B32A6" w:rsidP="00CA4A8D">
            <w:pPr>
              <w:jc w:val="center"/>
            </w:pPr>
            <w:r>
              <w:t>2018/19</w:t>
            </w:r>
          </w:p>
        </w:tc>
      </w:tr>
      <w:tr w:rsidR="00A00B5F" w:rsidTr="00CA4A8D">
        <w:tc>
          <w:tcPr>
            <w:tcW w:w="4819" w:type="dxa"/>
            <w:gridSpan w:val="6"/>
          </w:tcPr>
          <w:p w:rsidR="007A48C8" w:rsidRPr="00543FFD" w:rsidRDefault="005B32A6" w:rsidP="007A48C8">
            <w:pPr>
              <w:jc w:val="left"/>
              <w:rPr>
                <w:b/>
              </w:rPr>
            </w:pPr>
            <w:r w:rsidRPr="00543FFD">
              <w:rPr>
                <w:b/>
              </w:rPr>
              <w:t>Gross budget 201</w:t>
            </w:r>
            <w:r>
              <w:rPr>
                <w:b/>
              </w:rPr>
              <w:t>7</w:t>
            </w:r>
            <w:r w:rsidRPr="00543FFD">
              <w:rPr>
                <w:b/>
              </w:rPr>
              <w:t>/1</w:t>
            </w:r>
            <w:r>
              <w:rPr>
                <w:b/>
              </w:rPr>
              <w:t>8</w:t>
            </w:r>
          </w:p>
        </w:tc>
        <w:tc>
          <w:tcPr>
            <w:tcW w:w="4197" w:type="dxa"/>
            <w:gridSpan w:val="3"/>
          </w:tcPr>
          <w:p w:rsidR="007A48C8" w:rsidRPr="006F2802" w:rsidRDefault="005B32A6" w:rsidP="00CA4A8D">
            <w:pPr>
              <w:jc w:val="center"/>
            </w:pPr>
            <w:r>
              <w:t>£319.042m</w:t>
            </w:r>
          </w:p>
        </w:tc>
      </w:tr>
      <w:tr w:rsidR="00A00B5F" w:rsidTr="00CA4A8D">
        <w:tc>
          <w:tcPr>
            <w:tcW w:w="4819" w:type="dxa"/>
            <w:gridSpan w:val="6"/>
          </w:tcPr>
          <w:p w:rsidR="007A48C8" w:rsidRPr="00543FFD" w:rsidRDefault="005B32A6" w:rsidP="007A48C8">
            <w:pPr>
              <w:jc w:val="left"/>
              <w:rPr>
                <w:b/>
              </w:rPr>
            </w:pPr>
            <w:r w:rsidRPr="00543FFD">
              <w:rPr>
                <w:b/>
              </w:rPr>
              <w:t>Income 201</w:t>
            </w:r>
            <w:r>
              <w:rPr>
                <w:b/>
              </w:rPr>
              <w:t>7</w:t>
            </w:r>
            <w:r w:rsidRPr="00543FFD">
              <w:rPr>
                <w:b/>
              </w:rPr>
              <w:t>/1</w:t>
            </w:r>
            <w:r>
              <w:rPr>
                <w:b/>
              </w:rPr>
              <w:t>8</w:t>
            </w:r>
          </w:p>
        </w:tc>
        <w:tc>
          <w:tcPr>
            <w:tcW w:w="4197" w:type="dxa"/>
            <w:gridSpan w:val="3"/>
          </w:tcPr>
          <w:p w:rsidR="007A48C8" w:rsidRPr="006F2802" w:rsidRDefault="005B32A6" w:rsidP="00CA4A8D">
            <w:pPr>
              <w:jc w:val="center"/>
            </w:pPr>
            <w:r>
              <w:t>N/A</w:t>
            </w:r>
          </w:p>
        </w:tc>
      </w:tr>
      <w:tr w:rsidR="00A00B5F" w:rsidTr="00CA4A8D">
        <w:tc>
          <w:tcPr>
            <w:tcW w:w="4819" w:type="dxa"/>
            <w:gridSpan w:val="6"/>
          </w:tcPr>
          <w:p w:rsidR="007A48C8" w:rsidRPr="00543FFD" w:rsidRDefault="005B32A6" w:rsidP="007A48C8">
            <w:pPr>
              <w:jc w:val="left"/>
              <w:rPr>
                <w:b/>
              </w:rPr>
            </w:pPr>
            <w:r w:rsidRPr="00543FFD">
              <w:rPr>
                <w:b/>
              </w:rPr>
              <w:t>Net budget 201</w:t>
            </w:r>
            <w:r>
              <w:rPr>
                <w:b/>
              </w:rPr>
              <w:t>7</w:t>
            </w:r>
            <w:r w:rsidRPr="00543FFD">
              <w:rPr>
                <w:b/>
              </w:rPr>
              <w:t>/1</w:t>
            </w:r>
            <w:r>
              <w:rPr>
                <w:b/>
              </w:rPr>
              <w:t>8</w:t>
            </w:r>
          </w:p>
        </w:tc>
        <w:tc>
          <w:tcPr>
            <w:tcW w:w="4197" w:type="dxa"/>
            <w:gridSpan w:val="3"/>
          </w:tcPr>
          <w:p w:rsidR="007A48C8" w:rsidRPr="006F2802" w:rsidRDefault="005B32A6" w:rsidP="00CA4A8D">
            <w:pPr>
              <w:jc w:val="center"/>
            </w:pPr>
            <w:r>
              <w:t>£319.042m</w:t>
            </w:r>
          </w:p>
        </w:tc>
      </w:tr>
      <w:tr w:rsidR="00A00B5F" w:rsidTr="00CA4A8D">
        <w:trPr>
          <w:trHeight w:val="428"/>
        </w:trPr>
        <w:tc>
          <w:tcPr>
            <w:tcW w:w="9016" w:type="dxa"/>
            <w:gridSpan w:val="9"/>
          </w:tcPr>
          <w:p w:rsidR="007A48C8" w:rsidRPr="006F2802" w:rsidRDefault="00433270" w:rsidP="00CA4A8D">
            <w:pPr>
              <w:jc w:val="center"/>
              <w:rPr>
                <w:b/>
                <w:i/>
              </w:rPr>
            </w:pPr>
          </w:p>
        </w:tc>
      </w:tr>
      <w:tr w:rsidR="00A00B5F" w:rsidTr="00CA4A8D">
        <w:tc>
          <w:tcPr>
            <w:tcW w:w="9016" w:type="dxa"/>
            <w:gridSpan w:val="9"/>
          </w:tcPr>
          <w:p w:rsidR="007A48C8" w:rsidRPr="0045626A" w:rsidRDefault="005B32A6" w:rsidP="00CA4A8D">
            <w:pPr>
              <w:rPr>
                <w:b/>
              </w:rPr>
            </w:pPr>
            <w:r>
              <w:rPr>
                <w:b/>
              </w:rPr>
              <w:t xml:space="preserve">Savings Target and Profiling (discrete year): </w:t>
            </w:r>
          </w:p>
        </w:tc>
      </w:tr>
      <w:tr w:rsidR="00A00B5F" w:rsidTr="00CA4A8D">
        <w:tc>
          <w:tcPr>
            <w:tcW w:w="9016" w:type="dxa"/>
            <w:gridSpan w:val="9"/>
          </w:tcPr>
          <w:p w:rsidR="007A48C8" w:rsidRDefault="00433270" w:rsidP="00CA4A8D">
            <w:pPr>
              <w:rPr>
                <w:b/>
              </w:rPr>
            </w:pPr>
          </w:p>
        </w:tc>
      </w:tr>
      <w:tr w:rsidR="00A00B5F" w:rsidTr="00CA4A8D">
        <w:trPr>
          <w:trHeight w:val="90"/>
        </w:trPr>
        <w:tc>
          <w:tcPr>
            <w:tcW w:w="2405" w:type="dxa"/>
            <w:gridSpan w:val="2"/>
          </w:tcPr>
          <w:p w:rsidR="007A48C8" w:rsidRPr="00543FFD" w:rsidRDefault="005B32A6" w:rsidP="00CA4A8D">
            <w:pPr>
              <w:tabs>
                <w:tab w:val="left" w:pos="1395"/>
              </w:tabs>
              <w:jc w:val="center"/>
              <w:rPr>
                <w:b/>
              </w:rPr>
            </w:pPr>
            <w:r w:rsidRPr="00543FFD">
              <w:rPr>
                <w:b/>
              </w:rPr>
              <w:t>2018/19</w:t>
            </w:r>
          </w:p>
        </w:tc>
        <w:tc>
          <w:tcPr>
            <w:tcW w:w="2268" w:type="dxa"/>
            <w:gridSpan w:val="3"/>
          </w:tcPr>
          <w:p w:rsidR="007A48C8" w:rsidRPr="00543FFD" w:rsidRDefault="005B32A6" w:rsidP="00CA4A8D">
            <w:pPr>
              <w:tabs>
                <w:tab w:val="left" w:pos="1395"/>
              </w:tabs>
              <w:jc w:val="center"/>
              <w:rPr>
                <w:b/>
              </w:rPr>
            </w:pPr>
            <w:r w:rsidRPr="00543FFD">
              <w:rPr>
                <w:b/>
              </w:rPr>
              <w:t>2019/20</w:t>
            </w:r>
          </w:p>
        </w:tc>
        <w:tc>
          <w:tcPr>
            <w:tcW w:w="2126" w:type="dxa"/>
            <w:gridSpan w:val="3"/>
          </w:tcPr>
          <w:p w:rsidR="007A48C8" w:rsidRPr="00543FFD" w:rsidRDefault="005B32A6" w:rsidP="00CA4A8D">
            <w:pPr>
              <w:tabs>
                <w:tab w:val="left" w:pos="1395"/>
              </w:tabs>
              <w:jc w:val="center"/>
              <w:rPr>
                <w:b/>
              </w:rPr>
            </w:pPr>
            <w:r w:rsidRPr="00543FFD">
              <w:rPr>
                <w:b/>
              </w:rPr>
              <w:t>2020/21</w:t>
            </w:r>
          </w:p>
        </w:tc>
        <w:tc>
          <w:tcPr>
            <w:tcW w:w="2217" w:type="dxa"/>
          </w:tcPr>
          <w:p w:rsidR="007A48C8" w:rsidRPr="00543FFD" w:rsidRDefault="005B32A6" w:rsidP="00CA4A8D">
            <w:pPr>
              <w:tabs>
                <w:tab w:val="left" w:pos="1395"/>
              </w:tabs>
              <w:jc w:val="center"/>
              <w:rPr>
                <w:b/>
              </w:rPr>
            </w:pPr>
            <w:r>
              <w:rPr>
                <w:b/>
              </w:rPr>
              <w:t xml:space="preserve">Total </w:t>
            </w:r>
          </w:p>
        </w:tc>
      </w:tr>
      <w:tr w:rsidR="00A00B5F" w:rsidTr="00CA4A8D">
        <w:trPr>
          <w:trHeight w:val="90"/>
        </w:trPr>
        <w:tc>
          <w:tcPr>
            <w:tcW w:w="2405" w:type="dxa"/>
            <w:gridSpan w:val="2"/>
          </w:tcPr>
          <w:p w:rsidR="007A48C8" w:rsidRDefault="005B32A6" w:rsidP="00CA4A8D">
            <w:pPr>
              <w:tabs>
                <w:tab w:val="left" w:pos="1395"/>
              </w:tabs>
              <w:jc w:val="center"/>
              <w:rPr>
                <w:b/>
              </w:rPr>
            </w:pPr>
            <w:r>
              <w:rPr>
                <w:b/>
              </w:rPr>
              <w:t>£m</w:t>
            </w:r>
          </w:p>
        </w:tc>
        <w:tc>
          <w:tcPr>
            <w:tcW w:w="2268" w:type="dxa"/>
            <w:gridSpan w:val="3"/>
          </w:tcPr>
          <w:p w:rsidR="007A48C8" w:rsidRDefault="005B32A6" w:rsidP="00CA4A8D">
            <w:pPr>
              <w:tabs>
                <w:tab w:val="left" w:pos="1395"/>
              </w:tabs>
              <w:jc w:val="center"/>
              <w:rPr>
                <w:b/>
              </w:rPr>
            </w:pPr>
            <w:r>
              <w:rPr>
                <w:b/>
              </w:rPr>
              <w:t>£m</w:t>
            </w:r>
          </w:p>
        </w:tc>
        <w:tc>
          <w:tcPr>
            <w:tcW w:w="2126" w:type="dxa"/>
            <w:gridSpan w:val="3"/>
          </w:tcPr>
          <w:p w:rsidR="007A48C8" w:rsidRDefault="005B32A6" w:rsidP="00CA4A8D">
            <w:pPr>
              <w:tabs>
                <w:tab w:val="left" w:pos="1395"/>
              </w:tabs>
              <w:jc w:val="center"/>
              <w:rPr>
                <w:b/>
              </w:rPr>
            </w:pPr>
            <w:r>
              <w:rPr>
                <w:b/>
              </w:rPr>
              <w:t>£m</w:t>
            </w:r>
          </w:p>
        </w:tc>
        <w:tc>
          <w:tcPr>
            <w:tcW w:w="2217" w:type="dxa"/>
          </w:tcPr>
          <w:p w:rsidR="007A48C8" w:rsidRDefault="005B32A6" w:rsidP="00CA4A8D">
            <w:pPr>
              <w:tabs>
                <w:tab w:val="left" w:pos="1395"/>
              </w:tabs>
              <w:jc w:val="center"/>
              <w:rPr>
                <w:b/>
              </w:rPr>
            </w:pPr>
            <w:r>
              <w:rPr>
                <w:b/>
              </w:rPr>
              <w:t>£m</w:t>
            </w:r>
          </w:p>
        </w:tc>
      </w:tr>
      <w:tr w:rsidR="00A00B5F" w:rsidTr="00CA4A8D">
        <w:trPr>
          <w:trHeight w:val="90"/>
        </w:trPr>
        <w:tc>
          <w:tcPr>
            <w:tcW w:w="2405" w:type="dxa"/>
            <w:gridSpan w:val="2"/>
          </w:tcPr>
          <w:p w:rsidR="007A48C8" w:rsidRPr="00835DB6" w:rsidRDefault="005B32A6" w:rsidP="00CA4A8D">
            <w:pPr>
              <w:tabs>
                <w:tab w:val="left" w:pos="1395"/>
              </w:tabs>
              <w:jc w:val="center"/>
            </w:pPr>
            <w:r>
              <w:t>-6.381</w:t>
            </w:r>
          </w:p>
        </w:tc>
        <w:tc>
          <w:tcPr>
            <w:tcW w:w="2268" w:type="dxa"/>
            <w:gridSpan w:val="3"/>
          </w:tcPr>
          <w:p w:rsidR="007A48C8" w:rsidRPr="00835DB6" w:rsidRDefault="005B32A6" w:rsidP="00CA4A8D">
            <w:pPr>
              <w:tabs>
                <w:tab w:val="left" w:pos="1395"/>
              </w:tabs>
              <w:jc w:val="center"/>
            </w:pPr>
            <w:r>
              <w:t>0.000</w:t>
            </w:r>
          </w:p>
        </w:tc>
        <w:tc>
          <w:tcPr>
            <w:tcW w:w="2126" w:type="dxa"/>
            <w:gridSpan w:val="3"/>
          </w:tcPr>
          <w:p w:rsidR="007A48C8" w:rsidRPr="00835DB6" w:rsidRDefault="005B32A6" w:rsidP="00CA4A8D">
            <w:pPr>
              <w:tabs>
                <w:tab w:val="left" w:pos="1395"/>
              </w:tabs>
              <w:jc w:val="center"/>
            </w:pPr>
            <w:r>
              <w:t>0.000</w:t>
            </w:r>
          </w:p>
        </w:tc>
        <w:tc>
          <w:tcPr>
            <w:tcW w:w="2217" w:type="dxa"/>
          </w:tcPr>
          <w:p w:rsidR="007A48C8" w:rsidRPr="00835DB6" w:rsidRDefault="005B32A6" w:rsidP="00CA4A8D">
            <w:pPr>
              <w:tabs>
                <w:tab w:val="left" w:pos="1395"/>
              </w:tabs>
              <w:jc w:val="center"/>
            </w:pPr>
            <w:r>
              <w:t>-6.381</w:t>
            </w:r>
          </w:p>
        </w:tc>
      </w:tr>
      <w:tr w:rsidR="00A00B5F" w:rsidTr="00CA4A8D">
        <w:trPr>
          <w:trHeight w:val="90"/>
        </w:trPr>
        <w:tc>
          <w:tcPr>
            <w:tcW w:w="9016" w:type="dxa"/>
            <w:gridSpan w:val="9"/>
          </w:tcPr>
          <w:p w:rsidR="007A48C8" w:rsidRDefault="00433270" w:rsidP="00CA4A8D">
            <w:pPr>
              <w:tabs>
                <w:tab w:val="left" w:pos="1395"/>
              </w:tabs>
              <w:jc w:val="center"/>
              <w:rPr>
                <w:b/>
              </w:rPr>
            </w:pPr>
          </w:p>
        </w:tc>
      </w:tr>
      <w:tr w:rsidR="00A00B5F" w:rsidTr="00CA4A8D">
        <w:trPr>
          <w:trHeight w:val="90"/>
        </w:trPr>
        <w:tc>
          <w:tcPr>
            <w:tcW w:w="9016" w:type="dxa"/>
            <w:gridSpan w:val="9"/>
            <w:tcBorders>
              <w:top w:val="single" w:sz="4" w:space="0" w:color="000000"/>
              <w:left w:val="single" w:sz="4" w:space="0" w:color="000000"/>
              <w:bottom w:val="single" w:sz="4" w:space="0" w:color="000000"/>
              <w:right w:val="single" w:sz="4" w:space="0" w:color="000000"/>
            </w:tcBorders>
            <w:hideMark/>
          </w:tcPr>
          <w:p w:rsidR="007A48C8" w:rsidRDefault="005B32A6" w:rsidP="00CA4A8D">
            <w:pPr>
              <w:tabs>
                <w:tab w:val="left" w:pos="1395"/>
              </w:tabs>
              <w:spacing w:line="256" w:lineRule="auto"/>
              <w:rPr>
                <w:b/>
              </w:rPr>
            </w:pPr>
            <w:r>
              <w:rPr>
                <w:b/>
              </w:rPr>
              <w:t>FTE implications:</w:t>
            </w:r>
          </w:p>
        </w:tc>
      </w:tr>
      <w:tr w:rsidR="00A00B5F" w:rsidTr="00CA4A8D">
        <w:trPr>
          <w:trHeight w:val="90"/>
        </w:trPr>
        <w:tc>
          <w:tcPr>
            <w:tcW w:w="2254" w:type="dxa"/>
            <w:tcBorders>
              <w:top w:val="single" w:sz="4" w:space="0" w:color="000000"/>
              <w:left w:val="single" w:sz="4" w:space="0" w:color="000000"/>
              <w:bottom w:val="single" w:sz="4" w:space="0" w:color="000000"/>
              <w:right w:val="single" w:sz="4" w:space="0" w:color="000000"/>
            </w:tcBorders>
            <w:hideMark/>
          </w:tcPr>
          <w:p w:rsidR="007A48C8" w:rsidRDefault="005B32A6" w:rsidP="00CA4A8D">
            <w:pPr>
              <w:tabs>
                <w:tab w:val="left" w:pos="1395"/>
              </w:tabs>
              <w:spacing w:line="256" w:lineRule="auto"/>
              <w:jc w:val="center"/>
              <w:rPr>
                <w:b/>
              </w:rPr>
            </w:pPr>
            <w:r>
              <w:rPr>
                <w:b/>
              </w:rPr>
              <w:t>2018/19</w:t>
            </w:r>
          </w:p>
        </w:tc>
        <w:tc>
          <w:tcPr>
            <w:tcW w:w="2254" w:type="dxa"/>
            <w:gridSpan w:val="3"/>
            <w:tcBorders>
              <w:top w:val="single" w:sz="4" w:space="0" w:color="000000"/>
              <w:left w:val="single" w:sz="4" w:space="0" w:color="000000"/>
              <w:bottom w:val="single" w:sz="4" w:space="0" w:color="000000"/>
              <w:right w:val="single" w:sz="4" w:space="0" w:color="000000"/>
            </w:tcBorders>
            <w:hideMark/>
          </w:tcPr>
          <w:p w:rsidR="007A48C8" w:rsidRDefault="005B32A6" w:rsidP="00CA4A8D">
            <w:pPr>
              <w:tabs>
                <w:tab w:val="left" w:pos="1395"/>
              </w:tabs>
              <w:spacing w:line="256" w:lineRule="auto"/>
              <w:jc w:val="center"/>
              <w:rPr>
                <w:b/>
              </w:rPr>
            </w:pPr>
            <w:r>
              <w:rPr>
                <w:b/>
              </w:rPr>
              <w:t>2019/20</w:t>
            </w:r>
          </w:p>
        </w:tc>
        <w:tc>
          <w:tcPr>
            <w:tcW w:w="2254" w:type="dxa"/>
            <w:gridSpan w:val="3"/>
            <w:tcBorders>
              <w:top w:val="single" w:sz="4" w:space="0" w:color="000000"/>
              <w:left w:val="single" w:sz="4" w:space="0" w:color="000000"/>
              <w:bottom w:val="single" w:sz="4" w:space="0" w:color="000000"/>
              <w:right w:val="single" w:sz="4" w:space="0" w:color="000000"/>
            </w:tcBorders>
            <w:hideMark/>
          </w:tcPr>
          <w:p w:rsidR="007A48C8" w:rsidRDefault="005B32A6" w:rsidP="00CA4A8D">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rsidR="007A48C8" w:rsidRDefault="005B32A6" w:rsidP="00CA4A8D">
            <w:pPr>
              <w:tabs>
                <w:tab w:val="left" w:pos="1395"/>
              </w:tabs>
              <w:spacing w:line="256" w:lineRule="auto"/>
              <w:jc w:val="center"/>
              <w:rPr>
                <w:b/>
              </w:rPr>
            </w:pPr>
            <w:r>
              <w:rPr>
                <w:b/>
              </w:rPr>
              <w:t>Total</w:t>
            </w:r>
          </w:p>
        </w:tc>
      </w:tr>
      <w:tr w:rsidR="00A00B5F" w:rsidTr="00CA4A8D">
        <w:trPr>
          <w:trHeight w:val="90"/>
        </w:trPr>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7A48C8" w:rsidRDefault="005B32A6" w:rsidP="00CA4A8D">
            <w:pPr>
              <w:tabs>
                <w:tab w:val="left" w:pos="1395"/>
              </w:tabs>
              <w:spacing w:line="256" w:lineRule="auto"/>
              <w:jc w:val="center"/>
              <w:rPr>
                <w:i/>
              </w:rPr>
            </w:pPr>
            <w:r>
              <w:rPr>
                <w:i/>
              </w:rPr>
              <w:t>0.00</w:t>
            </w:r>
          </w:p>
        </w:tc>
        <w:tc>
          <w:tcPr>
            <w:tcW w:w="2254" w:type="dxa"/>
            <w:gridSpan w:val="3"/>
            <w:tcBorders>
              <w:top w:val="single" w:sz="4" w:space="0" w:color="000000"/>
              <w:left w:val="single" w:sz="4" w:space="0" w:color="000000"/>
              <w:bottom w:val="single" w:sz="4" w:space="0" w:color="000000"/>
              <w:right w:val="single" w:sz="4" w:space="0" w:color="000000"/>
            </w:tcBorders>
          </w:tcPr>
          <w:p w:rsidR="007A48C8" w:rsidRDefault="005B32A6" w:rsidP="00CA4A8D">
            <w:pPr>
              <w:tabs>
                <w:tab w:val="left" w:pos="1395"/>
              </w:tabs>
              <w:spacing w:line="256" w:lineRule="auto"/>
              <w:jc w:val="center"/>
              <w:rPr>
                <w:i/>
              </w:rPr>
            </w:pPr>
            <w:r>
              <w:rPr>
                <w:i/>
              </w:rPr>
              <w:t>0.00</w:t>
            </w:r>
          </w:p>
        </w:tc>
        <w:tc>
          <w:tcPr>
            <w:tcW w:w="2254" w:type="dxa"/>
            <w:gridSpan w:val="3"/>
            <w:tcBorders>
              <w:top w:val="single" w:sz="4" w:space="0" w:color="000000"/>
              <w:left w:val="single" w:sz="4" w:space="0" w:color="000000"/>
              <w:bottom w:val="single" w:sz="4" w:space="0" w:color="000000"/>
              <w:right w:val="single" w:sz="4" w:space="0" w:color="000000"/>
            </w:tcBorders>
          </w:tcPr>
          <w:p w:rsidR="007A48C8" w:rsidRDefault="005B32A6" w:rsidP="00CA4A8D">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tcPr>
          <w:p w:rsidR="007A48C8" w:rsidRDefault="005B32A6" w:rsidP="00CA4A8D">
            <w:pPr>
              <w:tabs>
                <w:tab w:val="left" w:pos="1395"/>
              </w:tabs>
              <w:spacing w:line="256" w:lineRule="auto"/>
              <w:jc w:val="center"/>
              <w:rPr>
                <w:i/>
              </w:rPr>
            </w:pPr>
            <w:r>
              <w:rPr>
                <w:i/>
              </w:rPr>
              <w:t>0.000</w:t>
            </w:r>
          </w:p>
        </w:tc>
      </w:tr>
      <w:tr w:rsidR="00A00B5F" w:rsidTr="00CA4A8D">
        <w:trPr>
          <w:trHeight w:val="90"/>
        </w:trPr>
        <w:tc>
          <w:tcPr>
            <w:tcW w:w="9016" w:type="dxa"/>
            <w:gridSpan w:val="9"/>
          </w:tcPr>
          <w:p w:rsidR="007A48C8" w:rsidRDefault="00433270" w:rsidP="00CA4A8D">
            <w:pPr>
              <w:tabs>
                <w:tab w:val="left" w:pos="1395"/>
              </w:tabs>
              <w:jc w:val="center"/>
              <w:rPr>
                <w:b/>
              </w:rPr>
            </w:pPr>
          </w:p>
        </w:tc>
      </w:tr>
      <w:tr w:rsidR="00A00B5F" w:rsidTr="00CA4A8D">
        <w:trPr>
          <w:trHeight w:val="1732"/>
        </w:trPr>
        <w:tc>
          <w:tcPr>
            <w:tcW w:w="2830" w:type="dxa"/>
            <w:gridSpan w:val="3"/>
          </w:tcPr>
          <w:p w:rsidR="007A48C8" w:rsidRPr="00543FFD" w:rsidRDefault="005B32A6" w:rsidP="007A48C8">
            <w:pPr>
              <w:jc w:val="left"/>
              <w:rPr>
                <w:b/>
              </w:rPr>
            </w:pPr>
            <w:r w:rsidRPr="00543FFD">
              <w:rPr>
                <w:b/>
              </w:rPr>
              <w:t>Decisions needed to deliver the budgeted savings</w:t>
            </w:r>
            <w:r w:rsidRPr="00543FFD">
              <w:rPr>
                <w:b/>
              </w:rPr>
              <w:br/>
            </w:r>
          </w:p>
          <w:p w:rsidR="007A48C8" w:rsidRDefault="00433270" w:rsidP="007A48C8">
            <w:pPr>
              <w:jc w:val="left"/>
            </w:pPr>
          </w:p>
        </w:tc>
        <w:tc>
          <w:tcPr>
            <w:tcW w:w="6186" w:type="dxa"/>
            <w:gridSpan w:val="6"/>
          </w:tcPr>
          <w:p w:rsidR="007A48C8" w:rsidRDefault="005B32A6" w:rsidP="00CA4A8D">
            <w:r>
              <w:t xml:space="preserve">Agree to apply a 2% vacancy factor to the staffing budget of the County Council. </w:t>
            </w:r>
          </w:p>
          <w:p w:rsidR="007A48C8" w:rsidRPr="006F2802" w:rsidRDefault="00433270" w:rsidP="00CA4A8D"/>
        </w:tc>
      </w:tr>
      <w:tr w:rsidR="00A00B5F" w:rsidTr="00CA4A8D">
        <w:trPr>
          <w:trHeight w:val="70"/>
        </w:trPr>
        <w:tc>
          <w:tcPr>
            <w:tcW w:w="2830" w:type="dxa"/>
            <w:gridSpan w:val="3"/>
          </w:tcPr>
          <w:p w:rsidR="007A48C8" w:rsidRDefault="005B32A6" w:rsidP="007A48C8">
            <w:pPr>
              <w:jc w:val="left"/>
            </w:pPr>
            <w:r>
              <w:rPr>
                <w:b/>
              </w:rPr>
              <w:t>Impact upon service</w:t>
            </w:r>
          </w:p>
          <w:p w:rsidR="007A48C8" w:rsidRDefault="00433270" w:rsidP="007A48C8">
            <w:pPr>
              <w:jc w:val="left"/>
            </w:pPr>
          </w:p>
          <w:p w:rsidR="007A48C8" w:rsidRDefault="00433270" w:rsidP="007A48C8">
            <w:pPr>
              <w:jc w:val="left"/>
            </w:pPr>
          </w:p>
          <w:p w:rsidR="007A48C8" w:rsidRDefault="00433270" w:rsidP="007A48C8">
            <w:pPr>
              <w:jc w:val="left"/>
            </w:pPr>
          </w:p>
          <w:p w:rsidR="007A48C8" w:rsidRDefault="00433270" w:rsidP="007A48C8">
            <w:pPr>
              <w:jc w:val="left"/>
            </w:pPr>
          </w:p>
          <w:p w:rsidR="007A48C8" w:rsidRDefault="00433270" w:rsidP="007A48C8">
            <w:pPr>
              <w:jc w:val="left"/>
            </w:pPr>
          </w:p>
        </w:tc>
        <w:tc>
          <w:tcPr>
            <w:tcW w:w="6186" w:type="dxa"/>
            <w:gridSpan w:val="6"/>
          </w:tcPr>
          <w:p w:rsidR="007A48C8" w:rsidRDefault="005B32A6" w:rsidP="00CA4A8D">
            <w:r>
              <w:t xml:space="preserve">This decision may impact on some service capacity, however the current position in 2017/18 is a forecast underspend on staff budgets of c£5m with services continuing to deliver services.  </w:t>
            </w:r>
          </w:p>
          <w:p w:rsidR="007A48C8" w:rsidRDefault="00433270" w:rsidP="00CA4A8D"/>
          <w:p w:rsidR="007A48C8" w:rsidRDefault="005B32A6" w:rsidP="00CA4A8D">
            <w:r>
              <w:t xml:space="preserve">A review of those services for which a vacancy factor may not be appropriate will need to be undertaken. </w:t>
            </w:r>
          </w:p>
          <w:p w:rsidR="007A48C8" w:rsidRPr="006F2802" w:rsidRDefault="00433270" w:rsidP="00CA4A8D"/>
        </w:tc>
      </w:tr>
      <w:tr w:rsidR="00A00B5F" w:rsidTr="00CA4A8D">
        <w:trPr>
          <w:trHeight w:val="70"/>
        </w:trPr>
        <w:tc>
          <w:tcPr>
            <w:tcW w:w="2830" w:type="dxa"/>
            <w:gridSpan w:val="3"/>
          </w:tcPr>
          <w:p w:rsidR="007A48C8" w:rsidRDefault="005B32A6" w:rsidP="007A48C8">
            <w:pPr>
              <w:jc w:val="left"/>
            </w:pPr>
            <w:r>
              <w:rPr>
                <w:b/>
              </w:rPr>
              <w:t>Actions needed to deliver the target savings</w:t>
            </w:r>
          </w:p>
          <w:p w:rsidR="007A48C8" w:rsidRDefault="00433270" w:rsidP="007A48C8">
            <w:pPr>
              <w:jc w:val="left"/>
            </w:pPr>
          </w:p>
          <w:p w:rsidR="007A48C8" w:rsidRDefault="00433270" w:rsidP="007A48C8">
            <w:pPr>
              <w:jc w:val="left"/>
            </w:pPr>
          </w:p>
          <w:p w:rsidR="007A48C8" w:rsidRDefault="00433270" w:rsidP="007A48C8">
            <w:pPr>
              <w:jc w:val="left"/>
            </w:pPr>
          </w:p>
        </w:tc>
        <w:tc>
          <w:tcPr>
            <w:tcW w:w="6186" w:type="dxa"/>
            <w:gridSpan w:val="6"/>
          </w:tcPr>
          <w:p w:rsidR="007A48C8" w:rsidRDefault="005B32A6" w:rsidP="00CA4A8D">
            <w:r>
              <w:t xml:space="preserve">Process to be developed to review how recruitment requests are put forward and authorised if a vacancy occurs within a service. </w:t>
            </w:r>
          </w:p>
          <w:p w:rsidR="007A48C8" w:rsidRDefault="00433270" w:rsidP="00CA4A8D"/>
          <w:p w:rsidR="007A48C8" w:rsidRDefault="005B32A6" w:rsidP="00CA4A8D">
            <w:r>
              <w:t>Regularly monitor the vacancy position across the County Council and regularly review the budget monitoring position of staffing budgets.</w:t>
            </w:r>
          </w:p>
          <w:p w:rsidR="007A48C8" w:rsidRDefault="00433270" w:rsidP="00CA4A8D"/>
          <w:p w:rsidR="007A48C8" w:rsidRPr="006F2802" w:rsidRDefault="00433270" w:rsidP="00CA4A8D"/>
        </w:tc>
      </w:tr>
    </w:tbl>
    <w:p w:rsidR="007A48C8" w:rsidRDefault="00433270" w:rsidP="007A48C8"/>
    <w:p w:rsidR="007A48C8" w:rsidRDefault="00433270" w:rsidP="007A48C8">
      <w:pPr>
        <w:rPr>
          <w:b/>
        </w:rPr>
      </w:pPr>
    </w:p>
    <w:p w:rsidR="007A48C8" w:rsidRPr="00CD00D1" w:rsidRDefault="00433270" w:rsidP="007A48C8"/>
    <w:p w:rsidR="00584DD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Pr="00C15723" w:rsidRDefault="005B32A6" w:rsidP="007A48C8">
      <w:pPr>
        <w:rPr>
          <w:rFonts w:eastAsiaTheme="minorHAnsi"/>
          <w:b/>
          <w:u w:val="single"/>
        </w:rPr>
      </w:pPr>
      <w:r>
        <w:rPr>
          <w:rFonts w:eastAsiaTheme="minorHAnsi"/>
          <w:b/>
          <w:u w:val="single"/>
        </w:rPr>
        <w:t>CORP002 – FOUNDATION LIVING WAGE</w:t>
      </w:r>
    </w:p>
    <w:p w:rsidR="007A48C8" w:rsidRPr="006F2802" w:rsidRDefault="00433270" w:rsidP="007A48C8">
      <w:pPr>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268"/>
        <w:gridCol w:w="2410"/>
        <w:gridCol w:w="1791"/>
      </w:tblGrid>
      <w:tr w:rsidR="00A00B5F" w:rsidTr="00CA4A8D">
        <w:tc>
          <w:tcPr>
            <w:tcW w:w="4815" w:type="dxa"/>
            <w:gridSpan w:val="2"/>
          </w:tcPr>
          <w:p w:rsidR="007A48C8" w:rsidRDefault="005B32A6" w:rsidP="007A48C8">
            <w:pPr>
              <w:jc w:val="left"/>
              <w:rPr>
                <w:b/>
              </w:rPr>
            </w:pPr>
            <w:r>
              <w:rPr>
                <w:b/>
              </w:rPr>
              <w:t>Service Name:</w:t>
            </w:r>
            <w:r w:rsidRPr="006F2802">
              <w:rPr>
                <w:b/>
              </w:rPr>
              <w:br/>
            </w:r>
          </w:p>
          <w:p w:rsidR="007A48C8" w:rsidRPr="006F2802" w:rsidRDefault="00433270" w:rsidP="007A48C8">
            <w:pPr>
              <w:jc w:val="left"/>
              <w:rPr>
                <w:b/>
              </w:rPr>
            </w:pPr>
          </w:p>
        </w:tc>
        <w:tc>
          <w:tcPr>
            <w:tcW w:w="4201" w:type="dxa"/>
            <w:gridSpan w:val="2"/>
          </w:tcPr>
          <w:p w:rsidR="007A48C8" w:rsidRPr="00835DB6" w:rsidRDefault="005B32A6" w:rsidP="00CA4A8D">
            <w:pPr>
              <w:jc w:val="center"/>
            </w:pPr>
            <w:r>
              <w:t>LCC Wide – Foundation Living Wage</w:t>
            </w:r>
          </w:p>
        </w:tc>
      </w:tr>
      <w:tr w:rsidR="00A00B5F" w:rsidTr="00CA4A8D">
        <w:trPr>
          <w:trHeight w:val="911"/>
        </w:trPr>
        <w:tc>
          <w:tcPr>
            <w:tcW w:w="4815" w:type="dxa"/>
            <w:gridSpan w:val="2"/>
          </w:tcPr>
          <w:p w:rsidR="007A48C8" w:rsidRPr="000678CE" w:rsidRDefault="005B32A6" w:rsidP="007A48C8">
            <w:pPr>
              <w:jc w:val="left"/>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201" w:type="dxa"/>
            <w:gridSpan w:val="2"/>
          </w:tcPr>
          <w:p w:rsidR="007A48C8" w:rsidRPr="006F2802" w:rsidRDefault="005B32A6" w:rsidP="00CA4A8D">
            <w:pPr>
              <w:jc w:val="center"/>
            </w:pPr>
            <w:r>
              <w:t>2018/19</w:t>
            </w:r>
          </w:p>
        </w:tc>
      </w:tr>
      <w:tr w:rsidR="00A00B5F" w:rsidTr="00CA4A8D">
        <w:tc>
          <w:tcPr>
            <w:tcW w:w="4815" w:type="dxa"/>
            <w:gridSpan w:val="2"/>
          </w:tcPr>
          <w:p w:rsidR="007A48C8" w:rsidRPr="00543FFD" w:rsidRDefault="005B32A6" w:rsidP="007A48C8">
            <w:pPr>
              <w:jc w:val="left"/>
              <w:rPr>
                <w:b/>
              </w:rPr>
            </w:pPr>
            <w:r w:rsidRPr="00543FFD">
              <w:rPr>
                <w:b/>
              </w:rPr>
              <w:t>Gross budget 201</w:t>
            </w:r>
            <w:r>
              <w:rPr>
                <w:b/>
              </w:rPr>
              <w:t>7</w:t>
            </w:r>
            <w:r w:rsidRPr="00543FFD">
              <w:rPr>
                <w:b/>
              </w:rPr>
              <w:t>/1</w:t>
            </w:r>
            <w:r>
              <w:rPr>
                <w:b/>
              </w:rPr>
              <w:t>8</w:t>
            </w:r>
          </w:p>
        </w:tc>
        <w:tc>
          <w:tcPr>
            <w:tcW w:w="4201" w:type="dxa"/>
            <w:gridSpan w:val="2"/>
          </w:tcPr>
          <w:p w:rsidR="007A48C8" w:rsidRPr="006F2802" w:rsidRDefault="005B32A6" w:rsidP="00CA4A8D">
            <w:pPr>
              <w:jc w:val="center"/>
            </w:pPr>
            <w:r>
              <w:t>£319.042m</w:t>
            </w:r>
          </w:p>
        </w:tc>
      </w:tr>
      <w:tr w:rsidR="00A00B5F" w:rsidTr="00CA4A8D">
        <w:tc>
          <w:tcPr>
            <w:tcW w:w="4815" w:type="dxa"/>
            <w:gridSpan w:val="2"/>
          </w:tcPr>
          <w:p w:rsidR="007A48C8" w:rsidRPr="00543FFD" w:rsidRDefault="005B32A6" w:rsidP="007A48C8">
            <w:pPr>
              <w:jc w:val="left"/>
              <w:rPr>
                <w:b/>
              </w:rPr>
            </w:pPr>
            <w:r w:rsidRPr="00543FFD">
              <w:rPr>
                <w:b/>
              </w:rPr>
              <w:t>Income 201</w:t>
            </w:r>
            <w:r>
              <w:rPr>
                <w:b/>
              </w:rPr>
              <w:t>7</w:t>
            </w:r>
            <w:r w:rsidRPr="00543FFD">
              <w:rPr>
                <w:b/>
              </w:rPr>
              <w:t>/1</w:t>
            </w:r>
            <w:r>
              <w:rPr>
                <w:b/>
              </w:rPr>
              <w:t>8</w:t>
            </w:r>
          </w:p>
        </w:tc>
        <w:tc>
          <w:tcPr>
            <w:tcW w:w="4201" w:type="dxa"/>
            <w:gridSpan w:val="2"/>
          </w:tcPr>
          <w:p w:rsidR="007A48C8" w:rsidRPr="006F2802" w:rsidRDefault="005B32A6" w:rsidP="00CA4A8D">
            <w:pPr>
              <w:jc w:val="center"/>
            </w:pPr>
            <w:r>
              <w:t>N/A</w:t>
            </w:r>
          </w:p>
        </w:tc>
      </w:tr>
      <w:tr w:rsidR="00A00B5F" w:rsidTr="00CA4A8D">
        <w:tc>
          <w:tcPr>
            <w:tcW w:w="4815" w:type="dxa"/>
            <w:gridSpan w:val="2"/>
          </w:tcPr>
          <w:p w:rsidR="007A48C8" w:rsidRPr="00543FFD" w:rsidRDefault="005B32A6" w:rsidP="007A48C8">
            <w:pPr>
              <w:jc w:val="left"/>
              <w:rPr>
                <w:b/>
              </w:rPr>
            </w:pPr>
            <w:r w:rsidRPr="002B7928">
              <w:rPr>
                <w:b/>
              </w:rPr>
              <w:t>Net budget 2017/18</w:t>
            </w:r>
          </w:p>
        </w:tc>
        <w:tc>
          <w:tcPr>
            <w:tcW w:w="4201" w:type="dxa"/>
            <w:gridSpan w:val="2"/>
          </w:tcPr>
          <w:p w:rsidR="007A48C8" w:rsidRPr="006F2802" w:rsidRDefault="005B32A6" w:rsidP="00CA4A8D">
            <w:pPr>
              <w:jc w:val="center"/>
            </w:pPr>
            <w:r>
              <w:t>£319.042m</w:t>
            </w:r>
          </w:p>
        </w:tc>
      </w:tr>
      <w:tr w:rsidR="00A00B5F" w:rsidTr="00CA4A8D">
        <w:trPr>
          <w:trHeight w:val="428"/>
        </w:trPr>
        <w:tc>
          <w:tcPr>
            <w:tcW w:w="9016" w:type="dxa"/>
            <w:gridSpan w:val="4"/>
          </w:tcPr>
          <w:p w:rsidR="007A48C8" w:rsidRPr="006F2802" w:rsidRDefault="00433270" w:rsidP="00CA4A8D">
            <w:pPr>
              <w:jc w:val="center"/>
              <w:rPr>
                <w:b/>
                <w:i/>
              </w:rPr>
            </w:pPr>
          </w:p>
        </w:tc>
      </w:tr>
      <w:tr w:rsidR="00A00B5F" w:rsidTr="00CA4A8D">
        <w:tc>
          <w:tcPr>
            <w:tcW w:w="9016" w:type="dxa"/>
            <w:gridSpan w:val="4"/>
          </w:tcPr>
          <w:p w:rsidR="007A48C8" w:rsidRPr="0045626A" w:rsidRDefault="005B32A6" w:rsidP="00CA4A8D">
            <w:pPr>
              <w:rPr>
                <w:b/>
              </w:rPr>
            </w:pPr>
            <w:r>
              <w:rPr>
                <w:b/>
              </w:rPr>
              <w:t xml:space="preserve">Savings Target and Profiling (discrete year): </w:t>
            </w:r>
          </w:p>
        </w:tc>
      </w:tr>
      <w:tr w:rsidR="00A00B5F" w:rsidTr="00CA4A8D">
        <w:tc>
          <w:tcPr>
            <w:tcW w:w="9016" w:type="dxa"/>
            <w:gridSpan w:val="4"/>
          </w:tcPr>
          <w:p w:rsidR="007A48C8" w:rsidRDefault="00433270" w:rsidP="00CA4A8D">
            <w:pPr>
              <w:rPr>
                <w:b/>
              </w:rPr>
            </w:pPr>
          </w:p>
        </w:tc>
      </w:tr>
      <w:tr w:rsidR="00A00B5F" w:rsidTr="00CA4A8D">
        <w:trPr>
          <w:trHeight w:val="90"/>
        </w:trPr>
        <w:tc>
          <w:tcPr>
            <w:tcW w:w="2547" w:type="dxa"/>
          </w:tcPr>
          <w:p w:rsidR="007A48C8" w:rsidRPr="00543FFD" w:rsidRDefault="005B32A6" w:rsidP="00CA4A8D">
            <w:pPr>
              <w:tabs>
                <w:tab w:val="left" w:pos="1395"/>
              </w:tabs>
              <w:jc w:val="center"/>
              <w:rPr>
                <w:b/>
              </w:rPr>
            </w:pPr>
            <w:r w:rsidRPr="00543FFD">
              <w:rPr>
                <w:b/>
              </w:rPr>
              <w:t>2018/19</w:t>
            </w:r>
          </w:p>
        </w:tc>
        <w:tc>
          <w:tcPr>
            <w:tcW w:w="2268" w:type="dxa"/>
          </w:tcPr>
          <w:p w:rsidR="007A48C8" w:rsidRPr="00543FFD" w:rsidRDefault="005B32A6" w:rsidP="00CA4A8D">
            <w:pPr>
              <w:tabs>
                <w:tab w:val="left" w:pos="1395"/>
              </w:tabs>
              <w:jc w:val="center"/>
              <w:rPr>
                <w:b/>
              </w:rPr>
            </w:pPr>
            <w:r w:rsidRPr="00543FFD">
              <w:rPr>
                <w:b/>
              </w:rPr>
              <w:t>2019/20</w:t>
            </w:r>
          </w:p>
        </w:tc>
        <w:tc>
          <w:tcPr>
            <w:tcW w:w="2410" w:type="dxa"/>
          </w:tcPr>
          <w:p w:rsidR="007A48C8" w:rsidRPr="00543FFD" w:rsidRDefault="005B32A6" w:rsidP="00CA4A8D">
            <w:pPr>
              <w:tabs>
                <w:tab w:val="left" w:pos="1395"/>
              </w:tabs>
              <w:jc w:val="center"/>
              <w:rPr>
                <w:b/>
              </w:rPr>
            </w:pPr>
            <w:r w:rsidRPr="00543FFD">
              <w:rPr>
                <w:b/>
              </w:rPr>
              <w:t>2020/21</w:t>
            </w:r>
          </w:p>
        </w:tc>
        <w:tc>
          <w:tcPr>
            <w:tcW w:w="1791" w:type="dxa"/>
          </w:tcPr>
          <w:p w:rsidR="007A48C8" w:rsidRPr="00543FFD" w:rsidRDefault="005B32A6" w:rsidP="00CA4A8D">
            <w:pPr>
              <w:tabs>
                <w:tab w:val="left" w:pos="1395"/>
              </w:tabs>
              <w:jc w:val="center"/>
              <w:rPr>
                <w:b/>
              </w:rPr>
            </w:pPr>
            <w:r>
              <w:rPr>
                <w:b/>
              </w:rPr>
              <w:t xml:space="preserve">Total </w:t>
            </w:r>
          </w:p>
        </w:tc>
      </w:tr>
      <w:tr w:rsidR="00A00B5F" w:rsidTr="00CA4A8D">
        <w:trPr>
          <w:trHeight w:val="90"/>
        </w:trPr>
        <w:tc>
          <w:tcPr>
            <w:tcW w:w="2547" w:type="dxa"/>
          </w:tcPr>
          <w:p w:rsidR="007A48C8" w:rsidRDefault="005B32A6" w:rsidP="00CA4A8D">
            <w:pPr>
              <w:tabs>
                <w:tab w:val="left" w:pos="1395"/>
              </w:tabs>
              <w:jc w:val="center"/>
              <w:rPr>
                <w:b/>
              </w:rPr>
            </w:pPr>
            <w:r>
              <w:rPr>
                <w:b/>
              </w:rPr>
              <w:t>£m</w:t>
            </w:r>
          </w:p>
        </w:tc>
        <w:tc>
          <w:tcPr>
            <w:tcW w:w="2268" w:type="dxa"/>
          </w:tcPr>
          <w:p w:rsidR="007A48C8" w:rsidRDefault="005B32A6" w:rsidP="00CA4A8D">
            <w:pPr>
              <w:tabs>
                <w:tab w:val="left" w:pos="1395"/>
              </w:tabs>
              <w:jc w:val="center"/>
              <w:rPr>
                <w:b/>
              </w:rPr>
            </w:pPr>
            <w:r>
              <w:rPr>
                <w:b/>
              </w:rPr>
              <w:t>£m</w:t>
            </w:r>
          </w:p>
        </w:tc>
        <w:tc>
          <w:tcPr>
            <w:tcW w:w="2410" w:type="dxa"/>
          </w:tcPr>
          <w:p w:rsidR="007A48C8" w:rsidRDefault="005B32A6" w:rsidP="00CA4A8D">
            <w:pPr>
              <w:tabs>
                <w:tab w:val="left" w:pos="1395"/>
              </w:tabs>
              <w:jc w:val="center"/>
              <w:rPr>
                <w:b/>
              </w:rPr>
            </w:pPr>
            <w:r>
              <w:rPr>
                <w:b/>
              </w:rPr>
              <w:t>£m</w:t>
            </w:r>
          </w:p>
        </w:tc>
        <w:tc>
          <w:tcPr>
            <w:tcW w:w="1791" w:type="dxa"/>
          </w:tcPr>
          <w:p w:rsidR="007A48C8" w:rsidRDefault="005B32A6" w:rsidP="00CA4A8D">
            <w:pPr>
              <w:tabs>
                <w:tab w:val="left" w:pos="1395"/>
              </w:tabs>
              <w:jc w:val="center"/>
              <w:rPr>
                <w:b/>
              </w:rPr>
            </w:pPr>
            <w:r>
              <w:rPr>
                <w:b/>
              </w:rPr>
              <w:t>£m</w:t>
            </w:r>
          </w:p>
        </w:tc>
      </w:tr>
      <w:tr w:rsidR="00A00B5F" w:rsidTr="00CA4A8D">
        <w:trPr>
          <w:trHeight w:val="90"/>
        </w:trPr>
        <w:tc>
          <w:tcPr>
            <w:tcW w:w="2547" w:type="dxa"/>
          </w:tcPr>
          <w:p w:rsidR="007A48C8" w:rsidRPr="00835DB6" w:rsidRDefault="005B32A6" w:rsidP="00CA4A8D">
            <w:pPr>
              <w:tabs>
                <w:tab w:val="left" w:pos="1395"/>
              </w:tabs>
              <w:jc w:val="center"/>
            </w:pPr>
            <w:r>
              <w:t>-0.515</w:t>
            </w:r>
          </w:p>
        </w:tc>
        <w:tc>
          <w:tcPr>
            <w:tcW w:w="2268" w:type="dxa"/>
          </w:tcPr>
          <w:p w:rsidR="007A48C8" w:rsidRPr="00835DB6" w:rsidRDefault="005B32A6" w:rsidP="00CA4A8D">
            <w:pPr>
              <w:tabs>
                <w:tab w:val="left" w:pos="1395"/>
              </w:tabs>
              <w:jc w:val="center"/>
            </w:pPr>
            <w:r>
              <w:t>-0.528</w:t>
            </w:r>
          </w:p>
        </w:tc>
        <w:tc>
          <w:tcPr>
            <w:tcW w:w="2410" w:type="dxa"/>
          </w:tcPr>
          <w:p w:rsidR="007A48C8" w:rsidRPr="00835DB6" w:rsidRDefault="005B32A6" w:rsidP="00CA4A8D">
            <w:pPr>
              <w:tabs>
                <w:tab w:val="left" w:pos="1395"/>
              </w:tabs>
              <w:jc w:val="center"/>
            </w:pPr>
            <w:r>
              <w:t>0.000</w:t>
            </w:r>
          </w:p>
        </w:tc>
        <w:tc>
          <w:tcPr>
            <w:tcW w:w="1791" w:type="dxa"/>
          </w:tcPr>
          <w:p w:rsidR="007A48C8" w:rsidRPr="00835DB6" w:rsidRDefault="005B32A6" w:rsidP="00CA4A8D">
            <w:pPr>
              <w:tabs>
                <w:tab w:val="left" w:pos="1395"/>
              </w:tabs>
              <w:jc w:val="center"/>
            </w:pPr>
            <w:r>
              <w:t>-1.043</w:t>
            </w:r>
          </w:p>
        </w:tc>
      </w:tr>
      <w:tr w:rsidR="00A00B5F" w:rsidTr="00CA4A8D">
        <w:trPr>
          <w:trHeight w:val="90"/>
        </w:trPr>
        <w:tc>
          <w:tcPr>
            <w:tcW w:w="9016" w:type="dxa"/>
            <w:gridSpan w:val="4"/>
          </w:tcPr>
          <w:p w:rsidR="007A48C8" w:rsidRDefault="00433270" w:rsidP="00CA4A8D">
            <w:pPr>
              <w:tabs>
                <w:tab w:val="left" w:pos="1395"/>
              </w:tabs>
              <w:jc w:val="center"/>
              <w:rPr>
                <w:b/>
              </w:rPr>
            </w:pPr>
          </w:p>
        </w:tc>
      </w:tr>
      <w:tr w:rsidR="00A00B5F" w:rsidTr="00CA4A8D">
        <w:trPr>
          <w:trHeight w:val="90"/>
        </w:trPr>
        <w:tc>
          <w:tcPr>
            <w:tcW w:w="9016" w:type="dxa"/>
            <w:gridSpan w:val="4"/>
            <w:tcBorders>
              <w:top w:val="single" w:sz="4" w:space="0" w:color="000000"/>
              <w:left w:val="single" w:sz="4" w:space="0" w:color="000000"/>
              <w:bottom w:val="single" w:sz="4" w:space="0" w:color="000000"/>
              <w:right w:val="single" w:sz="4" w:space="0" w:color="000000"/>
            </w:tcBorders>
            <w:hideMark/>
          </w:tcPr>
          <w:p w:rsidR="007A48C8" w:rsidRDefault="005B32A6" w:rsidP="00CA4A8D">
            <w:pPr>
              <w:tabs>
                <w:tab w:val="left" w:pos="1395"/>
              </w:tabs>
              <w:spacing w:line="256" w:lineRule="auto"/>
              <w:rPr>
                <w:b/>
              </w:rPr>
            </w:pPr>
            <w:r>
              <w:rPr>
                <w:b/>
              </w:rPr>
              <w:t>FTE implications:</w:t>
            </w:r>
          </w:p>
        </w:tc>
      </w:tr>
      <w:tr w:rsidR="00A00B5F" w:rsidTr="00CA4A8D">
        <w:trPr>
          <w:trHeight w:val="90"/>
        </w:trPr>
        <w:tc>
          <w:tcPr>
            <w:tcW w:w="2547" w:type="dxa"/>
            <w:tcBorders>
              <w:top w:val="single" w:sz="4" w:space="0" w:color="000000"/>
              <w:left w:val="single" w:sz="4" w:space="0" w:color="000000"/>
              <w:bottom w:val="single" w:sz="4" w:space="0" w:color="000000"/>
              <w:right w:val="single" w:sz="4" w:space="0" w:color="000000"/>
            </w:tcBorders>
            <w:hideMark/>
          </w:tcPr>
          <w:p w:rsidR="007A48C8" w:rsidRDefault="005B32A6" w:rsidP="00CA4A8D">
            <w:pPr>
              <w:tabs>
                <w:tab w:val="left" w:pos="1395"/>
              </w:tabs>
              <w:spacing w:line="256" w:lineRule="auto"/>
              <w:jc w:val="center"/>
              <w:rPr>
                <w:b/>
              </w:rPr>
            </w:pPr>
            <w:r>
              <w:rPr>
                <w:b/>
              </w:rPr>
              <w:t>2018/19</w:t>
            </w:r>
          </w:p>
        </w:tc>
        <w:tc>
          <w:tcPr>
            <w:tcW w:w="2268" w:type="dxa"/>
            <w:tcBorders>
              <w:top w:val="single" w:sz="4" w:space="0" w:color="000000"/>
              <w:left w:val="single" w:sz="4" w:space="0" w:color="000000"/>
              <w:bottom w:val="single" w:sz="4" w:space="0" w:color="000000"/>
              <w:right w:val="single" w:sz="4" w:space="0" w:color="000000"/>
            </w:tcBorders>
            <w:hideMark/>
          </w:tcPr>
          <w:p w:rsidR="007A48C8" w:rsidRDefault="005B32A6" w:rsidP="00CA4A8D">
            <w:pPr>
              <w:tabs>
                <w:tab w:val="left" w:pos="1395"/>
              </w:tabs>
              <w:spacing w:line="256" w:lineRule="auto"/>
              <w:jc w:val="center"/>
              <w:rPr>
                <w:b/>
              </w:rPr>
            </w:pPr>
            <w:r>
              <w:rPr>
                <w:b/>
              </w:rPr>
              <w:t>2019/20</w:t>
            </w:r>
          </w:p>
        </w:tc>
        <w:tc>
          <w:tcPr>
            <w:tcW w:w="2410" w:type="dxa"/>
            <w:tcBorders>
              <w:top w:val="single" w:sz="4" w:space="0" w:color="000000"/>
              <w:left w:val="single" w:sz="4" w:space="0" w:color="000000"/>
              <w:bottom w:val="single" w:sz="4" w:space="0" w:color="000000"/>
              <w:right w:val="single" w:sz="4" w:space="0" w:color="000000"/>
            </w:tcBorders>
            <w:hideMark/>
          </w:tcPr>
          <w:p w:rsidR="007A48C8" w:rsidRDefault="005B32A6" w:rsidP="00CA4A8D">
            <w:pPr>
              <w:tabs>
                <w:tab w:val="left" w:pos="1395"/>
              </w:tabs>
              <w:spacing w:line="256" w:lineRule="auto"/>
              <w:jc w:val="center"/>
              <w:rPr>
                <w:b/>
              </w:rPr>
            </w:pPr>
            <w:r>
              <w:rPr>
                <w:b/>
              </w:rPr>
              <w:t>2020/21</w:t>
            </w:r>
          </w:p>
        </w:tc>
        <w:tc>
          <w:tcPr>
            <w:tcW w:w="1791" w:type="dxa"/>
            <w:tcBorders>
              <w:top w:val="single" w:sz="4" w:space="0" w:color="000000"/>
              <w:left w:val="single" w:sz="4" w:space="0" w:color="000000"/>
              <w:bottom w:val="single" w:sz="4" w:space="0" w:color="000000"/>
              <w:right w:val="single" w:sz="4" w:space="0" w:color="000000"/>
            </w:tcBorders>
            <w:hideMark/>
          </w:tcPr>
          <w:p w:rsidR="007A48C8" w:rsidRDefault="005B32A6" w:rsidP="00CA4A8D">
            <w:pPr>
              <w:tabs>
                <w:tab w:val="left" w:pos="1395"/>
              </w:tabs>
              <w:spacing w:line="256" w:lineRule="auto"/>
              <w:jc w:val="center"/>
              <w:rPr>
                <w:b/>
              </w:rPr>
            </w:pPr>
            <w:r>
              <w:rPr>
                <w:b/>
              </w:rPr>
              <w:t>Total</w:t>
            </w:r>
          </w:p>
        </w:tc>
      </w:tr>
      <w:tr w:rsidR="00A00B5F" w:rsidTr="00CA4A8D">
        <w:trPr>
          <w:trHeight w:val="90"/>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7A48C8" w:rsidRDefault="005B32A6" w:rsidP="00CA4A8D">
            <w:pPr>
              <w:tabs>
                <w:tab w:val="left" w:pos="1395"/>
              </w:tabs>
              <w:spacing w:line="256" w:lineRule="auto"/>
              <w:jc w:val="center"/>
              <w:rPr>
                <w:i/>
              </w:rPr>
            </w:pPr>
            <w:r>
              <w:rPr>
                <w:i/>
              </w:rPr>
              <w:t xml:space="preserve">0.00 </w:t>
            </w:r>
          </w:p>
        </w:tc>
        <w:tc>
          <w:tcPr>
            <w:tcW w:w="2268" w:type="dxa"/>
            <w:tcBorders>
              <w:top w:val="single" w:sz="4" w:space="0" w:color="000000"/>
              <w:left w:val="single" w:sz="4" w:space="0" w:color="000000"/>
              <w:bottom w:val="single" w:sz="4" w:space="0" w:color="000000"/>
              <w:right w:val="single" w:sz="4" w:space="0" w:color="000000"/>
            </w:tcBorders>
          </w:tcPr>
          <w:p w:rsidR="007A48C8" w:rsidRDefault="005B32A6" w:rsidP="00CA4A8D">
            <w:pPr>
              <w:tabs>
                <w:tab w:val="left" w:pos="1395"/>
              </w:tabs>
              <w:spacing w:line="256" w:lineRule="auto"/>
              <w:jc w:val="center"/>
              <w:rPr>
                <w:i/>
              </w:rPr>
            </w:pPr>
            <w:r>
              <w:rPr>
                <w:i/>
              </w:rPr>
              <w:t>0.000</w:t>
            </w:r>
          </w:p>
        </w:tc>
        <w:tc>
          <w:tcPr>
            <w:tcW w:w="2410" w:type="dxa"/>
            <w:tcBorders>
              <w:top w:val="single" w:sz="4" w:space="0" w:color="000000"/>
              <w:left w:val="single" w:sz="4" w:space="0" w:color="000000"/>
              <w:bottom w:val="single" w:sz="4" w:space="0" w:color="000000"/>
              <w:right w:val="single" w:sz="4" w:space="0" w:color="000000"/>
            </w:tcBorders>
          </w:tcPr>
          <w:p w:rsidR="007A48C8" w:rsidRDefault="005B32A6" w:rsidP="00CA4A8D">
            <w:pPr>
              <w:tabs>
                <w:tab w:val="left" w:pos="1395"/>
              </w:tabs>
              <w:spacing w:line="256" w:lineRule="auto"/>
              <w:jc w:val="center"/>
              <w:rPr>
                <w:i/>
              </w:rPr>
            </w:pPr>
            <w:r>
              <w:rPr>
                <w:i/>
              </w:rPr>
              <w:t>0.00</w:t>
            </w:r>
          </w:p>
        </w:tc>
        <w:tc>
          <w:tcPr>
            <w:tcW w:w="1791" w:type="dxa"/>
            <w:tcBorders>
              <w:top w:val="single" w:sz="4" w:space="0" w:color="000000"/>
              <w:left w:val="single" w:sz="4" w:space="0" w:color="000000"/>
              <w:bottom w:val="single" w:sz="4" w:space="0" w:color="000000"/>
              <w:right w:val="single" w:sz="4" w:space="0" w:color="000000"/>
            </w:tcBorders>
          </w:tcPr>
          <w:p w:rsidR="007A48C8" w:rsidRDefault="005B32A6" w:rsidP="00CA4A8D">
            <w:pPr>
              <w:tabs>
                <w:tab w:val="left" w:pos="1395"/>
              </w:tabs>
              <w:spacing w:line="256" w:lineRule="auto"/>
              <w:jc w:val="center"/>
              <w:rPr>
                <w:i/>
              </w:rPr>
            </w:pPr>
            <w:r>
              <w:rPr>
                <w:i/>
              </w:rPr>
              <w:t>0.00</w:t>
            </w:r>
          </w:p>
        </w:tc>
      </w:tr>
      <w:tr w:rsidR="00A00B5F" w:rsidTr="00CA4A8D">
        <w:trPr>
          <w:trHeight w:val="90"/>
        </w:trPr>
        <w:tc>
          <w:tcPr>
            <w:tcW w:w="9016" w:type="dxa"/>
            <w:gridSpan w:val="4"/>
          </w:tcPr>
          <w:p w:rsidR="007A48C8" w:rsidRDefault="00433270" w:rsidP="00CA4A8D">
            <w:pPr>
              <w:tabs>
                <w:tab w:val="left" w:pos="1395"/>
              </w:tabs>
              <w:jc w:val="center"/>
              <w:rPr>
                <w:b/>
              </w:rPr>
            </w:pPr>
          </w:p>
        </w:tc>
      </w:tr>
      <w:tr w:rsidR="00A00B5F" w:rsidTr="00CA4A8D">
        <w:trPr>
          <w:trHeight w:val="1732"/>
        </w:trPr>
        <w:tc>
          <w:tcPr>
            <w:tcW w:w="2547" w:type="dxa"/>
          </w:tcPr>
          <w:p w:rsidR="007A48C8" w:rsidRPr="00543FFD" w:rsidRDefault="005B32A6" w:rsidP="007A48C8">
            <w:pPr>
              <w:jc w:val="left"/>
              <w:rPr>
                <w:b/>
              </w:rPr>
            </w:pPr>
            <w:r w:rsidRPr="00543FFD">
              <w:rPr>
                <w:b/>
              </w:rPr>
              <w:t>Decisions needed to deliver the budgeted savings</w:t>
            </w:r>
            <w:r w:rsidRPr="00543FFD">
              <w:rPr>
                <w:b/>
              </w:rPr>
              <w:br/>
            </w:r>
          </w:p>
          <w:p w:rsidR="007A48C8" w:rsidRDefault="00433270" w:rsidP="007A48C8">
            <w:pPr>
              <w:jc w:val="left"/>
            </w:pPr>
          </w:p>
        </w:tc>
        <w:tc>
          <w:tcPr>
            <w:tcW w:w="6469" w:type="dxa"/>
            <w:gridSpan w:val="3"/>
          </w:tcPr>
          <w:p w:rsidR="007A48C8" w:rsidRDefault="005B32A6" w:rsidP="00CA4A8D">
            <w:r>
              <w:t>Lancashire County Council ceases being a Foundation Living Wage (FLW) employer, and pays National Living Wage (NLW) rates instead.</w:t>
            </w:r>
          </w:p>
          <w:p w:rsidR="007A48C8" w:rsidRDefault="005B32A6" w:rsidP="00CA4A8D">
            <w:r>
              <w:t xml:space="preserve">The current FLW rate paid would be frozen until NLW rate overtakes it – currently forecast to be in 2020/21. </w:t>
            </w:r>
          </w:p>
          <w:p w:rsidR="005064DA" w:rsidRPr="006F2802" w:rsidRDefault="005B32A6" w:rsidP="00CA4A8D">
            <w:r>
              <w:t xml:space="preserve">The 2017/18 Foundation Living Wage is £8.45 per hour and the National Living Wage is £7.50 per hour. </w:t>
            </w:r>
          </w:p>
        </w:tc>
      </w:tr>
      <w:tr w:rsidR="00A00B5F" w:rsidTr="00CA4A8D">
        <w:trPr>
          <w:trHeight w:val="70"/>
        </w:trPr>
        <w:tc>
          <w:tcPr>
            <w:tcW w:w="2547" w:type="dxa"/>
          </w:tcPr>
          <w:p w:rsidR="007A48C8" w:rsidRDefault="005B32A6" w:rsidP="007A48C8">
            <w:pPr>
              <w:jc w:val="left"/>
            </w:pPr>
            <w:r>
              <w:rPr>
                <w:b/>
              </w:rPr>
              <w:t>Impact upon service</w:t>
            </w:r>
          </w:p>
          <w:p w:rsidR="007A48C8" w:rsidRDefault="00433270" w:rsidP="007A48C8">
            <w:pPr>
              <w:jc w:val="left"/>
            </w:pPr>
          </w:p>
          <w:p w:rsidR="007A48C8" w:rsidRDefault="00433270" w:rsidP="007A48C8">
            <w:pPr>
              <w:jc w:val="left"/>
            </w:pPr>
          </w:p>
          <w:p w:rsidR="007A48C8" w:rsidRDefault="00433270" w:rsidP="007A48C8">
            <w:pPr>
              <w:jc w:val="left"/>
            </w:pPr>
          </w:p>
          <w:p w:rsidR="007A48C8" w:rsidRDefault="00433270" w:rsidP="007A48C8">
            <w:pPr>
              <w:jc w:val="left"/>
            </w:pPr>
          </w:p>
          <w:p w:rsidR="007A48C8" w:rsidRDefault="00433270" w:rsidP="007A48C8">
            <w:pPr>
              <w:jc w:val="left"/>
            </w:pPr>
          </w:p>
        </w:tc>
        <w:tc>
          <w:tcPr>
            <w:tcW w:w="6469" w:type="dxa"/>
            <w:gridSpan w:val="3"/>
          </w:tcPr>
          <w:p w:rsidR="007A48C8" w:rsidRDefault="005B32A6" w:rsidP="005A3918">
            <w:pPr>
              <w:pStyle w:val="ListParagraph"/>
              <w:numPr>
                <w:ilvl w:val="0"/>
                <w:numId w:val="25"/>
              </w:numPr>
              <w:autoSpaceDE/>
              <w:autoSpaceDN/>
              <w:adjustRightInd/>
              <w:spacing w:after="0"/>
              <w:jc w:val="left"/>
            </w:pPr>
            <w:r>
              <w:t>Potential increase in staff turnover</w:t>
            </w:r>
          </w:p>
          <w:p w:rsidR="007A48C8" w:rsidRPr="006F2802" w:rsidRDefault="005B32A6" w:rsidP="005064DA">
            <w:pPr>
              <w:pStyle w:val="ListParagraph"/>
              <w:numPr>
                <w:ilvl w:val="0"/>
                <w:numId w:val="25"/>
              </w:numPr>
              <w:autoSpaceDE/>
              <w:autoSpaceDN/>
              <w:adjustRightInd/>
              <w:spacing w:after="0"/>
              <w:jc w:val="left"/>
            </w:pPr>
            <w:r>
              <w:t>Potential reduction in staff morale</w:t>
            </w:r>
          </w:p>
        </w:tc>
      </w:tr>
      <w:tr w:rsidR="00A00B5F" w:rsidTr="00CA4A8D">
        <w:trPr>
          <w:trHeight w:val="70"/>
        </w:trPr>
        <w:tc>
          <w:tcPr>
            <w:tcW w:w="2547" w:type="dxa"/>
          </w:tcPr>
          <w:p w:rsidR="007A48C8" w:rsidRDefault="005B32A6" w:rsidP="007A48C8">
            <w:pPr>
              <w:jc w:val="left"/>
            </w:pPr>
            <w:r>
              <w:rPr>
                <w:b/>
              </w:rPr>
              <w:t>Actions needed to deliver the target savings</w:t>
            </w:r>
          </w:p>
          <w:p w:rsidR="007A48C8" w:rsidRDefault="00433270" w:rsidP="007A48C8">
            <w:pPr>
              <w:jc w:val="left"/>
            </w:pPr>
          </w:p>
          <w:p w:rsidR="007A48C8" w:rsidRDefault="00433270" w:rsidP="007A48C8">
            <w:pPr>
              <w:jc w:val="left"/>
            </w:pPr>
          </w:p>
          <w:p w:rsidR="007A48C8" w:rsidRDefault="00433270" w:rsidP="007A48C8">
            <w:pPr>
              <w:jc w:val="left"/>
            </w:pPr>
          </w:p>
        </w:tc>
        <w:tc>
          <w:tcPr>
            <w:tcW w:w="6469" w:type="dxa"/>
            <w:gridSpan w:val="3"/>
          </w:tcPr>
          <w:p w:rsidR="007A48C8" w:rsidRDefault="005B32A6" w:rsidP="00CA4A8D">
            <w:r w:rsidRPr="002B7928">
              <w:t>Communication to staff and</w:t>
            </w:r>
            <w:r>
              <w:t xml:space="preserve"> consultation with </w:t>
            </w:r>
            <w:r w:rsidRPr="002B7928">
              <w:t>the Trade Unions</w:t>
            </w:r>
            <w:r>
              <w:t>.</w:t>
            </w:r>
          </w:p>
          <w:p w:rsidR="007A48C8" w:rsidRDefault="005B32A6" w:rsidP="00CA4A8D">
            <w:r>
              <w:t xml:space="preserve">An initial Equality Analysis is set out below. This will be updated following consultation and provided to Cabinet for them to consider to ensure that they are complying with the public Sector Equality Duty as set out in s.149 of the Equality Act 2010. </w:t>
            </w:r>
          </w:p>
          <w:p w:rsidR="007A48C8" w:rsidRPr="002B7928" w:rsidRDefault="005B32A6" w:rsidP="00CA4A8D">
            <w:r>
              <w:t xml:space="preserve">No longer pay to be an accredited Foundation Living Wage employer. </w:t>
            </w:r>
          </w:p>
          <w:p w:rsidR="007A48C8" w:rsidRDefault="00433270" w:rsidP="00CA4A8D"/>
          <w:p w:rsidR="007A48C8" w:rsidRDefault="005B32A6" w:rsidP="00CA4A8D">
            <w:r>
              <w:t>If Cabinet were to recommend that the Council cease to be a Foundation Living Wage employer this would need to be agreed by Full Council.</w:t>
            </w:r>
          </w:p>
          <w:p w:rsidR="007A48C8" w:rsidRDefault="00433270" w:rsidP="00CA4A8D"/>
          <w:p w:rsidR="007A48C8" w:rsidRPr="006F2802" w:rsidRDefault="00433270" w:rsidP="00CA4A8D"/>
        </w:tc>
      </w:tr>
    </w:tbl>
    <w:p w:rsidR="007A48C8" w:rsidRDefault="00433270" w:rsidP="007A48C8">
      <w:pPr>
        <w:rPr>
          <w:b/>
        </w:rPr>
      </w:pPr>
    </w:p>
    <w:p w:rsidR="007A48C8" w:rsidRDefault="005B32A6" w:rsidP="007A48C8">
      <w:pPr>
        <w:rPr>
          <w:b/>
        </w:rPr>
      </w:pPr>
      <w:r>
        <w:rPr>
          <w:b/>
        </w:rPr>
        <w:t xml:space="preserve">What does this service deliver? </w:t>
      </w:r>
    </w:p>
    <w:p w:rsidR="007A48C8" w:rsidRPr="00CD00D1" w:rsidRDefault="005B32A6" w:rsidP="007A48C8">
      <w:r>
        <w:t xml:space="preserve">A number of services across the Council will have staff affected by this option.  The highest numbers of employees currently paid Foundation Living Wage deliver services within </w:t>
      </w:r>
      <w:r w:rsidR="00BF5013">
        <w:t>F</w:t>
      </w:r>
      <w:r>
        <w:t xml:space="preserve">acilities Management, Traded services (catering), Older People and Public and Integrated Transport.  </w:t>
      </w:r>
      <w:r w:rsidRPr="00CD00D1">
        <w:t xml:space="preserve"> </w:t>
      </w: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7A48C8" w:rsidRDefault="00433270" w:rsidP="007D73B9">
      <w:pPr>
        <w:spacing w:after="0" w:line="259" w:lineRule="auto"/>
        <w:rPr>
          <w:rFonts w:cs="Arial"/>
          <w:b/>
        </w:rPr>
      </w:pPr>
    </w:p>
    <w:p w:rsidR="00410D29" w:rsidRDefault="00433270" w:rsidP="007D73B9">
      <w:pPr>
        <w:spacing w:after="0" w:line="259" w:lineRule="auto"/>
        <w:rPr>
          <w:rFonts w:cs="Arial"/>
          <w:b/>
        </w:rPr>
      </w:pPr>
    </w:p>
    <w:p w:rsidR="00410D29" w:rsidRDefault="00433270" w:rsidP="00410D29">
      <w:pPr>
        <w:autoSpaceDE/>
        <w:autoSpaceDN/>
        <w:adjustRightInd/>
        <w:spacing w:after="0"/>
        <w:jc w:val="left"/>
        <w:rPr>
          <w:rFonts w:cs="Arial"/>
          <w:b/>
        </w:rPr>
      </w:pPr>
    </w:p>
    <w:p w:rsidR="00410D29" w:rsidRDefault="005B32A6" w:rsidP="00410D29">
      <w:r>
        <w:rPr>
          <w:noProof/>
          <w:lang w:eastAsia="en-GB"/>
        </w:rPr>
        <w:drawing>
          <wp:anchor distT="0" distB="0" distL="114300" distR="114300" simplePos="0" relativeHeight="251660288" behindDoc="1" locked="0" layoutInCell="1" allowOverlap="1">
            <wp:simplePos x="0" y="0"/>
            <wp:positionH relativeFrom="column">
              <wp:posOffset>-895350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11"/>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410D29" w:rsidRDefault="00433270" w:rsidP="00410D29"/>
    <w:p w:rsidR="00410D29" w:rsidRDefault="00433270" w:rsidP="00410D29"/>
    <w:p w:rsidR="00410D29" w:rsidRDefault="00433270" w:rsidP="00410D29"/>
    <w:p w:rsidR="00410D29" w:rsidRDefault="00433270" w:rsidP="00410D29"/>
    <w:p w:rsidR="00410D29" w:rsidRDefault="00433270" w:rsidP="00410D29"/>
    <w:p w:rsidR="00410D29" w:rsidRDefault="00433270" w:rsidP="00410D29"/>
    <w:p w:rsidR="00410D29" w:rsidRDefault="00433270" w:rsidP="00410D29"/>
    <w:p w:rsidR="00410D29" w:rsidRDefault="00433270" w:rsidP="00410D29"/>
    <w:p w:rsidR="00410D29" w:rsidRDefault="00433270" w:rsidP="00410D29"/>
    <w:p w:rsidR="00410D29" w:rsidRDefault="00433270" w:rsidP="00410D29"/>
    <w:p w:rsidR="00410D29" w:rsidRDefault="00433270" w:rsidP="00410D29"/>
    <w:p w:rsidR="00410D29" w:rsidRDefault="005B32A6" w:rsidP="00410D29">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29" w:rsidRPr="002F35BA" w:rsidRDefault="005B32A6" w:rsidP="00410D29">
                            <w:pPr>
                              <w:outlineLvl w:val="0"/>
                              <w:rPr>
                                <w:rFonts w:ascii="Corbel" w:hAnsi="Corbel"/>
                                <w:b/>
                                <w:sz w:val="44"/>
                              </w:rPr>
                            </w:pPr>
                            <w:r w:rsidRPr="002F35BA">
                              <w:rPr>
                                <w:rFonts w:ascii="Corbel" w:hAnsi="Corbel"/>
                                <w:b/>
                                <w:sz w:val="44"/>
                              </w:rPr>
                              <w:t>Section 4</w:t>
                            </w:r>
                          </w:p>
                          <w:p w:rsidR="00410D29" w:rsidRPr="009838D0" w:rsidRDefault="005B32A6" w:rsidP="00410D29">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2F35BA">
                              <w:rPr>
                                <w:rFonts w:ascii="Corbel" w:hAnsi="Corbel"/>
                                <w:b/>
                                <w:sz w:val="44"/>
                              </w:rPr>
                              <w:t>For Decision Making Items</w:t>
                            </w:r>
                            <w:r>
                              <w:rPr>
                                <w:rFonts w:ascii="Corbel" w:hAnsi="Corbel"/>
                                <w:b/>
                                <w:sz w:val="44"/>
                              </w:rPr>
                              <w:br/>
                            </w:r>
                            <w:r>
                              <w:br/>
                              <w:t>November 2017</w:t>
                            </w:r>
                          </w:p>
                          <w:p w:rsidR="00410D29" w:rsidRPr="002F35BA" w:rsidRDefault="00433270" w:rsidP="00410D29">
                            <w:pPr>
                              <w:rPr>
                                <w:rFonts w:ascii="Corbel" w:hAnsi="Corbel"/>
                                <w:b/>
                                <w:sz w:val="44"/>
                              </w:rPr>
                            </w:pPr>
                          </w:p>
                          <w:p w:rsidR="00410D29" w:rsidRPr="002F35BA" w:rsidRDefault="00433270" w:rsidP="00410D29">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Text Box 3" o:spid="_x0000_s1026"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2336" filled="f" stroked="f">
                <v:textbox inset=",7.2pt,,7.2pt">
                  <w:txbxContent>
                    <w:p w:rsidR="00410D29" w:rsidRPr="002F35BA" w:rsidP="00410D29">
                      <w:pPr>
                        <w:outlineLvl w:val="0"/>
                        <w:rPr>
                          <w:rFonts w:ascii="Corbel" w:hAnsi="Corbel"/>
                          <w:b/>
                          <w:sz w:val="44"/>
                        </w:rPr>
                      </w:pPr>
                      <w:r w:rsidRPr="002F35BA">
                        <w:rPr>
                          <w:rFonts w:ascii="Corbel" w:hAnsi="Corbel"/>
                          <w:b/>
                          <w:sz w:val="44"/>
                        </w:rPr>
                        <w:t>Section 4</w:t>
                      </w:r>
                    </w:p>
                    <w:p w:rsidR="00410D29" w:rsidRPr="009838D0" w:rsidP="00410D29">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2F35BA">
                        <w:rPr>
                          <w:rFonts w:ascii="Corbel" w:hAnsi="Corbel"/>
                          <w:b/>
                          <w:sz w:val="44"/>
                        </w:rPr>
                        <w:t>For</w:t>
                      </w:r>
                      <w:r w:rsidRPr="002F35BA">
                        <w:rPr>
                          <w:rFonts w:ascii="Corbel" w:hAnsi="Corbel"/>
                          <w:b/>
                          <w:sz w:val="44"/>
                        </w:rPr>
                        <w:t xml:space="preserve"> Decision Making Items</w:t>
                      </w:r>
                      <w:r>
                        <w:rPr>
                          <w:rFonts w:ascii="Corbel" w:hAnsi="Corbel"/>
                          <w:b/>
                          <w:sz w:val="44"/>
                        </w:rPr>
                        <w:br/>
                      </w:r>
                      <w:r>
                        <w:br/>
                        <w:t>November 2017</w:t>
                      </w:r>
                    </w:p>
                    <w:p w:rsidR="00410D29" w:rsidRPr="002F35BA" w:rsidP="00410D29">
                      <w:pPr>
                        <w:rPr>
                          <w:rFonts w:ascii="Corbel" w:hAnsi="Corbel"/>
                          <w:b/>
                          <w:sz w:val="44"/>
                        </w:rPr>
                      </w:pPr>
                    </w:p>
                    <w:p w:rsidR="00410D29" w:rsidRPr="002F35BA" w:rsidP="00410D29">
                      <w:pPr>
                        <w:rPr>
                          <w:rFonts w:ascii="Corbel" w:hAnsi="Corbel"/>
                        </w:rPr>
                      </w:pPr>
                    </w:p>
                  </w:txbxContent>
                </v:textbox>
              </v:shape>
            </w:pict>
          </mc:Fallback>
        </mc:AlternateContent>
      </w:r>
    </w:p>
    <w:p w:rsidR="00410D29" w:rsidRDefault="00433270" w:rsidP="00410D29"/>
    <w:p w:rsidR="00410D29" w:rsidRDefault="00433270" w:rsidP="00410D29"/>
    <w:p w:rsidR="00410D29" w:rsidRDefault="00433270" w:rsidP="00410D29"/>
    <w:p w:rsidR="00410D29" w:rsidRDefault="00433270" w:rsidP="00410D29"/>
    <w:p w:rsidR="00410D29" w:rsidRDefault="00433270" w:rsidP="00410D29"/>
    <w:p w:rsidR="00410D29" w:rsidRDefault="00433270" w:rsidP="00410D29"/>
    <w:p w:rsidR="00410D29" w:rsidRDefault="00433270" w:rsidP="00410D29"/>
    <w:p w:rsidR="00410D29" w:rsidRDefault="00433270" w:rsidP="00410D29"/>
    <w:p w:rsidR="00410D29" w:rsidRDefault="005B32A6" w:rsidP="00410D29">
      <w:pPr>
        <w:rPr>
          <w:b/>
        </w:rPr>
      </w:pPr>
      <w:r>
        <w:rPr>
          <w:b/>
        </w:rPr>
        <w:br w:type="page"/>
      </w:r>
    </w:p>
    <w:p w:rsidR="00410D29" w:rsidRDefault="005B32A6" w:rsidP="00410D29">
      <w:pPr>
        <w:outlineLvl w:val="0"/>
        <w:rPr>
          <w:b/>
        </w:rPr>
      </w:pPr>
      <w:r>
        <w:rPr>
          <w:b/>
        </w:rPr>
        <w:t xml:space="preserve">What is the Purpose of the </w:t>
      </w:r>
      <w:r w:rsidRPr="009B0987">
        <w:rPr>
          <w:b/>
        </w:rPr>
        <w:t>Equality Decision-Making Analysis</w:t>
      </w:r>
      <w:r>
        <w:rPr>
          <w:b/>
        </w:rPr>
        <w:t>?</w:t>
      </w:r>
    </w:p>
    <w:p w:rsidR="00410D29" w:rsidRDefault="005B32A6" w:rsidP="00410D29">
      <w:pPr>
        <w:spacing w:after="0"/>
      </w:pPr>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410D29" w:rsidRDefault="00433270" w:rsidP="00410D29">
      <w:pPr>
        <w:spacing w:after="0"/>
      </w:pPr>
    </w:p>
    <w:p w:rsidR="00410D29" w:rsidRDefault="005B32A6" w:rsidP="00410D29">
      <w:pPr>
        <w:spacing w:after="0"/>
      </w:pPr>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410D29" w:rsidRDefault="00433270" w:rsidP="00410D29">
      <w:pPr>
        <w:spacing w:after="0"/>
      </w:pPr>
    </w:p>
    <w:p w:rsidR="00410D29" w:rsidRDefault="005B32A6" w:rsidP="00410D29">
      <w:pPr>
        <w:spacing w:after="0"/>
      </w:pPr>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410D29" w:rsidRDefault="00433270" w:rsidP="00410D29">
      <w:pPr>
        <w:spacing w:after="0"/>
      </w:pPr>
    </w:p>
    <w:p w:rsidR="00410D29" w:rsidRDefault="005B32A6" w:rsidP="00410D29">
      <w:pPr>
        <w:spacing w:after="0"/>
      </w:pPr>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410D29" w:rsidRDefault="00433270" w:rsidP="00410D29">
      <w:pPr>
        <w:spacing w:after="0"/>
      </w:pPr>
    </w:p>
    <w:p w:rsidR="00410D29" w:rsidRDefault="005B32A6" w:rsidP="00410D29">
      <w:pPr>
        <w:spacing w:after="0"/>
      </w:pPr>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410D29" w:rsidRDefault="00433270" w:rsidP="00410D29">
      <w:pPr>
        <w:spacing w:after="0"/>
      </w:pPr>
    </w:p>
    <w:p w:rsidR="00410D29" w:rsidRDefault="005B32A6" w:rsidP="00410D29">
      <w:pPr>
        <w:spacing w:after="0"/>
      </w:pPr>
      <w:r>
        <w:t>This process should be completed with reference to the most recent, updated version of the Equality Analysis Step by Step Guidance (to be distributed) or EHRC guidance at</w:t>
      </w:r>
    </w:p>
    <w:p w:rsidR="00410D29" w:rsidRDefault="00433270" w:rsidP="00410D29">
      <w:pPr>
        <w:spacing w:after="0"/>
        <w:rPr>
          <w:rStyle w:val="Hyperlink"/>
        </w:rPr>
      </w:pPr>
      <w:hyperlink r:id="rId12" w:history="1">
        <w:r w:rsidR="005B32A6" w:rsidRPr="006261CC">
          <w:rPr>
            <w:rStyle w:val="Hyperlink"/>
          </w:rPr>
          <w:t>http://www.equalityhumanrights.com/private-and-public-sector-guidance/public-sector-providers/public-sector-equality-duty</w:t>
        </w:r>
      </w:hyperlink>
    </w:p>
    <w:p w:rsidR="00410D29" w:rsidRDefault="00433270" w:rsidP="00410D29">
      <w:pPr>
        <w:spacing w:after="0"/>
      </w:pPr>
    </w:p>
    <w:p w:rsidR="00410D29" w:rsidRDefault="005B32A6" w:rsidP="00410D29">
      <w:pPr>
        <w:spacing w:after="0"/>
      </w:pPr>
      <w: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410D29" w:rsidRDefault="00433270" w:rsidP="00410D29">
      <w:pPr>
        <w:spacing w:after="0"/>
      </w:pPr>
    </w:p>
    <w:p w:rsidR="00410D29" w:rsidRDefault="005B32A6" w:rsidP="00410D29">
      <w:pPr>
        <w:spacing w:after="0"/>
      </w:pPr>
      <w:r>
        <w:t>The documents should also be retained following any decision as they may be requested as part of enquiries from the Equality and Human Rights Commission or Freedom of Information requests.</w:t>
      </w:r>
    </w:p>
    <w:p w:rsidR="00410D29" w:rsidRDefault="00433270" w:rsidP="00410D29">
      <w:pPr>
        <w:spacing w:after="0"/>
      </w:pPr>
    </w:p>
    <w:p w:rsidR="00410D29" w:rsidRDefault="005B32A6" w:rsidP="00410D29">
      <w:pPr>
        <w:spacing w:after="0"/>
      </w:pPr>
      <w:r>
        <w:t>Specific advice on completing the Equality Analysis and advice, support and training on the Equality Duty and its implications is available from the County Equality and Cohesion Team by contacting Jeanette Binns (Equality and Cohesion Manager) at</w:t>
      </w:r>
    </w:p>
    <w:p w:rsidR="00410D29" w:rsidRDefault="00433270" w:rsidP="00410D29">
      <w:pPr>
        <w:spacing w:after="0"/>
        <w:outlineLvl w:val="0"/>
      </w:pPr>
      <w:hyperlink r:id="rId13" w:history="1">
        <w:r w:rsidR="005B32A6" w:rsidRPr="00016FA1">
          <w:rPr>
            <w:rStyle w:val="Hyperlink"/>
          </w:rPr>
          <w:t>Jeanette.binns@lancashire.gov.uk</w:t>
        </w:r>
      </w:hyperlink>
    </w:p>
    <w:p w:rsidR="00410D29" w:rsidRDefault="005B32A6" w:rsidP="00410D29">
      <w:pPr>
        <w:spacing w:after="0"/>
        <w:outlineLvl w:val="0"/>
        <w:rPr>
          <w:b/>
        </w:rPr>
      </w:pPr>
      <w:r>
        <w:br w:type="page"/>
      </w:r>
      <w:r>
        <w:rPr>
          <w:b/>
        </w:rPr>
        <w:t>Name/Nature of the Decision</w:t>
      </w:r>
    </w:p>
    <w:tbl>
      <w:tblPr>
        <w:tblStyle w:val="TableGrid"/>
        <w:tblW w:w="0" w:type="auto"/>
        <w:tblLook w:val="04A0" w:firstRow="1" w:lastRow="0" w:firstColumn="1" w:lastColumn="0" w:noHBand="0" w:noVBand="1"/>
      </w:tblPr>
      <w:tblGrid>
        <w:gridCol w:w="9016"/>
      </w:tblGrid>
      <w:tr w:rsidR="00A00B5F" w:rsidTr="008F65C0">
        <w:tc>
          <w:tcPr>
            <w:tcW w:w="9242" w:type="dxa"/>
          </w:tcPr>
          <w:p w:rsidR="00410D29" w:rsidRPr="00FD01CC" w:rsidRDefault="005B32A6" w:rsidP="008F65C0">
            <w:pPr>
              <w:spacing w:after="0"/>
              <w:outlineLvl w:val="0"/>
            </w:pPr>
            <w:r w:rsidRPr="00A251CB">
              <w:t xml:space="preserve">The decision will mean that Lancashire County Council </w:t>
            </w:r>
            <w:r>
              <w:t xml:space="preserve">will </w:t>
            </w:r>
            <w:r w:rsidRPr="00A251CB">
              <w:t>cease being a Foundation Living Wage (FLW) employer, and</w:t>
            </w:r>
            <w:r>
              <w:t xml:space="preserve"> will </w:t>
            </w:r>
            <w:r w:rsidRPr="00A251CB">
              <w:t>pay National Living Wage (NLW) rates instead. The current FLW rate paid would be frozen until NLW rate overtakes it – currently forecast to be in 2020/21.</w:t>
            </w:r>
            <w:r>
              <w:t xml:space="preserve"> The frozen rate would be </w:t>
            </w:r>
            <w:r w:rsidRPr="005C2358">
              <w:t>applied to both existing and new employees</w:t>
            </w:r>
            <w:r>
              <w:t>.</w:t>
            </w:r>
          </w:p>
        </w:tc>
      </w:tr>
    </w:tbl>
    <w:p w:rsidR="00410D29" w:rsidRPr="00FD01CC" w:rsidRDefault="00433270" w:rsidP="00410D29">
      <w:pPr>
        <w:spacing w:after="0"/>
        <w:outlineLvl w:val="0"/>
      </w:pPr>
    </w:p>
    <w:p w:rsidR="00410D29" w:rsidRDefault="005B32A6" w:rsidP="00410D29">
      <w:pPr>
        <w:spacing w:after="0"/>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A00B5F" w:rsidTr="008F65C0">
        <w:tc>
          <w:tcPr>
            <w:tcW w:w="9242" w:type="dxa"/>
          </w:tcPr>
          <w:p w:rsidR="00410D29" w:rsidRDefault="005B32A6" w:rsidP="008F65C0">
            <w:pPr>
              <w:spacing w:after="0"/>
              <w:outlineLvl w:val="0"/>
            </w:pPr>
            <w:r w:rsidRPr="00FD01CC">
              <w:t>Lancashire County Council</w:t>
            </w:r>
            <w:r>
              <w:t>,</w:t>
            </w:r>
            <w:r w:rsidRPr="00FD01CC">
              <w:t xml:space="preserve"> as an employer</w:t>
            </w:r>
            <w:r>
              <w:t>,</w:t>
            </w:r>
            <w:r w:rsidRPr="00FD01CC">
              <w:t xml:space="preserve"> pays</w:t>
            </w:r>
            <w:r>
              <w:rPr>
                <w:b/>
              </w:rPr>
              <w:t xml:space="preserve"> </w:t>
            </w:r>
            <w:r w:rsidRPr="00FD01CC">
              <w:t xml:space="preserve">the Foundation Living Wage which is a higher minimum </w:t>
            </w:r>
            <w:r>
              <w:t>rate of pay to its directly employed staff.  The Foundation Living Wage rate exceeds the Government's National Living Wage and forms part of the Lancashire Pay Spine.  The Foundation Living Wage is a voluntary hourly rate that is set independently, updated annually and calculated by the Living Wage Foundation.  When the Council became a Living Wage employer in 2014, it agreed to adopt the Living Wage Foundation rate and to uplift its rate within six months of their annual review.</w:t>
            </w:r>
          </w:p>
          <w:p w:rsidR="00410D29" w:rsidRDefault="00433270" w:rsidP="008F65C0">
            <w:pPr>
              <w:spacing w:after="0"/>
              <w:outlineLvl w:val="0"/>
            </w:pPr>
          </w:p>
          <w:p w:rsidR="00410D29" w:rsidRPr="00FD01CC" w:rsidRDefault="005B32A6" w:rsidP="008F65C0">
            <w:pPr>
              <w:spacing w:after="0"/>
              <w:outlineLvl w:val="0"/>
            </w:pPr>
            <w:r>
              <w:t xml:space="preserve">Being a Foundation Living Wage employer is a decision taken by the authority and this proposal is driven by budgetary rather than legal requirements.  </w:t>
            </w:r>
            <w:r w:rsidRPr="00FD01CC">
              <w:t xml:space="preserve"> </w:t>
            </w:r>
          </w:p>
          <w:p w:rsidR="00410D29" w:rsidRDefault="00433270" w:rsidP="008F65C0">
            <w:pPr>
              <w:spacing w:after="0"/>
              <w:outlineLvl w:val="0"/>
              <w:rPr>
                <w:b/>
              </w:rPr>
            </w:pPr>
          </w:p>
        </w:tc>
      </w:tr>
    </w:tbl>
    <w:p w:rsidR="00410D29" w:rsidRDefault="00433270" w:rsidP="00410D29">
      <w:pPr>
        <w:spacing w:after="0"/>
        <w:rPr>
          <w:b/>
        </w:rPr>
      </w:pPr>
    </w:p>
    <w:p w:rsidR="00410D29" w:rsidRDefault="005B32A6" w:rsidP="00410D29">
      <w:pPr>
        <w:spacing w:after="0"/>
      </w:pPr>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p w:rsidR="00410D29" w:rsidRDefault="00433270" w:rsidP="00410D29">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00B5F" w:rsidTr="008F65C0">
        <w:tc>
          <w:tcPr>
            <w:tcW w:w="9242" w:type="dxa"/>
          </w:tcPr>
          <w:p w:rsidR="00410D29" w:rsidRDefault="005B32A6" w:rsidP="008F65C0">
            <w:pPr>
              <w:spacing w:after="0"/>
            </w:pPr>
            <w:r>
              <w:t>T</w:t>
            </w:r>
            <w:r w:rsidRPr="00A248EF">
              <w:t>he decision will affect employees of Lancashire County Council who are in posts currently paid at the Foundation Living Wage</w:t>
            </w:r>
          </w:p>
          <w:p w:rsidR="00410D29" w:rsidRDefault="00433270" w:rsidP="008F65C0">
            <w:pPr>
              <w:spacing w:after="0"/>
            </w:pPr>
          </w:p>
          <w:p w:rsidR="00410D29" w:rsidRDefault="00433270" w:rsidP="008F65C0">
            <w:pPr>
              <w:spacing w:after="0"/>
            </w:pPr>
          </w:p>
          <w:p w:rsidR="00410D29" w:rsidRDefault="00433270" w:rsidP="008F65C0">
            <w:pPr>
              <w:spacing w:after="0"/>
            </w:pPr>
          </w:p>
        </w:tc>
      </w:tr>
    </w:tbl>
    <w:p w:rsidR="00410D29" w:rsidRPr="004F2BE6" w:rsidRDefault="00433270" w:rsidP="00410D29">
      <w:pPr>
        <w:spacing w:after="0"/>
      </w:pPr>
    </w:p>
    <w:p w:rsidR="00410D29" w:rsidRDefault="005B32A6" w:rsidP="00410D29">
      <w:pPr>
        <w:spacing w:after="0"/>
        <w:rPr>
          <w:b/>
        </w:rPr>
      </w:pPr>
      <w:r>
        <w:rPr>
          <w:b/>
        </w:rPr>
        <w:t xml:space="preserve">Could the decision have a particular impact on any group of individuals sharing protected characteristics under the Equality Act 2010, namely: </w:t>
      </w:r>
    </w:p>
    <w:p w:rsidR="00410D29" w:rsidRPr="00364551" w:rsidRDefault="005B32A6" w:rsidP="00410D29">
      <w:pPr>
        <w:pStyle w:val="ColorfulList-Accent11"/>
        <w:numPr>
          <w:ilvl w:val="0"/>
          <w:numId w:val="27"/>
        </w:numPr>
        <w:spacing w:after="0"/>
        <w:rPr>
          <w:sz w:val="24"/>
          <w:szCs w:val="24"/>
        </w:rPr>
      </w:pPr>
      <w:r w:rsidRPr="00364551">
        <w:rPr>
          <w:sz w:val="24"/>
          <w:szCs w:val="24"/>
        </w:rPr>
        <w:t>Age</w:t>
      </w:r>
    </w:p>
    <w:p w:rsidR="00410D29" w:rsidRPr="00364551" w:rsidRDefault="005B32A6" w:rsidP="00410D29">
      <w:pPr>
        <w:pStyle w:val="ColorfulList-Accent11"/>
        <w:numPr>
          <w:ilvl w:val="0"/>
          <w:numId w:val="27"/>
        </w:numPr>
        <w:spacing w:after="0"/>
        <w:rPr>
          <w:sz w:val="24"/>
          <w:szCs w:val="24"/>
        </w:rPr>
      </w:pPr>
      <w:r w:rsidRPr="00364551">
        <w:rPr>
          <w:sz w:val="24"/>
          <w:szCs w:val="24"/>
        </w:rPr>
        <w:t>Disability including Deaf people</w:t>
      </w:r>
    </w:p>
    <w:p w:rsidR="00410D29" w:rsidRPr="00364551" w:rsidRDefault="005B32A6" w:rsidP="00410D29">
      <w:pPr>
        <w:pStyle w:val="ColorfulList-Accent11"/>
        <w:numPr>
          <w:ilvl w:val="0"/>
          <w:numId w:val="27"/>
        </w:numPr>
        <w:spacing w:after="0"/>
        <w:rPr>
          <w:sz w:val="24"/>
          <w:szCs w:val="24"/>
        </w:rPr>
      </w:pPr>
      <w:r w:rsidRPr="00364551">
        <w:rPr>
          <w:sz w:val="24"/>
          <w:szCs w:val="24"/>
        </w:rPr>
        <w:t>Gender reassignment</w:t>
      </w:r>
    </w:p>
    <w:p w:rsidR="00410D29" w:rsidRPr="00364551" w:rsidRDefault="005B32A6" w:rsidP="00410D29">
      <w:pPr>
        <w:pStyle w:val="ColorfulList-Accent11"/>
        <w:numPr>
          <w:ilvl w:val="0"/>
          <w:numId w:val="27"/>
        </w:numPr>
        <w:spacing w:after="0"/>
        <w:rPr>
          <w:sz w:val="24"/>
          <w:szCs w:val="24"/>
        </w:rPr>
      </w:pPr>
      <w:r w:rsidRPr="00364551">
        <w:rPr>
          <w:sz w:val="24"/>
          <w:szCs w:val="24"/>
        </w:rPr>
        <w:t>Pregnancy and maternity</w:t>
      </w:r>
    </w:p>
    <w:p w:rsidR="00410D29" w:rsidRPr="00364551" w:rsidRDefault="005B32A6" w:rsidP="00410D29">
      <w:pPr>
        <w:pStyle w:val="ColorfulList-Accent11"/>
        <w:numPr>
          <w:ilvl w:val="0"/>
          <w:numId w:val="27"/>
        </w:numPr>
        <w:spacing w:after="0"/>
        <w:rPr>
          <w:sz w:val="24"/>
          <w:szCs w:val="24"/>
        </w:rPr>
      </w:pPr>
      <w:r w:rsidRPr="00364551">
        <w:rPr>
          <w:sz w:val="24"/>
          <w:szCs w:val="24"/>
        </w:rPr>
        <w:t>Race/ethnicity/nationality</w:t>
      </w:r>
    </w:p>
    <w:p w:rsidR="00410D29" w:rsidRPr="00364551" w:rsidRDefault="005B32A6" w:rsidP="00410D29">
      <w:pPr>
        <w:pStyle w:val="ColorfulList-Accent11"/>
        <w:numPr>
          <w:ilvl w:val="0"/>
          <w:numId w:val="27"/>
        </w:numPr>
        <w:spacing w:after="0"/>
        <w:rPr>
          <w:sz w:val="24"/>
          <w:szCs w:val="24"/>
        </w:rPr>
      </w:pPr>
      <w:r w:rsidRPr="00364551">
        <w:rPr>
          <w:sz w:val="24"/>
          <w:szCs w:val="24"/>
        </w:rPr>
        <w:t>Religion or belief</w:t>
      </w:r>
    </w:p>
    <w:p w:rsidR="00410D29" w:rsidRPr="00364551" w:rsidRDefault="005B32A6" w:rsidP="00410D29">
      <w:pPr>
        <w:pStyle w:val="ColorfulList-Accent11"/>
        <w:numPr>
          <w:ilvl w:val="0"/>
          <w:numId w:val="27"/>
        </w:numPr>
        <w:spacing w:after="0"/>
        <w:rPr>
          <w:sz w:val="24"/>
          <w:szCs w:val="24"/>
        </w:rPr>
      </w:pPr>
      <w:r w:rsidRPr="00364551">
        <w:rPr>
          <w:sz w:val="24"/>
          <w:szCs w:val="24"/>
        </w:rPr>
        <w:t>Sex/gender</w:t>
      </w:r>
    </w:p>
    <w:p w:rsidR="00410D29" w:rsidRPr="00364551" w:rsidRDefault="005B32A6" w:rsidP="00410D29">
      <w:pPr>
        <w:pStyle w:val="ColorfulList-Accent11"/>
        <w:numPr>
          <w:ilvl w:val="0"/>
          <w:numId w:val="27"/>
        </w:numPr>
        <w:spacing w:after="0"/>
        <w:rPr>
          <w:sz w:val="24"/>
          <w:szCs w:val="24"/>
        </w:rPr>
      </w:pPr>
      <w:r w:rsidRPr="00364551">
        <w:rPr>
          <w:sz w:val="24"/>
          <w:szCs w:val="24"/>
        </w:rPr>
        <w:t>Sexual orientation</w:t>
      </w:r>
    </w:p>
    <w:p w:rsidR="00410D29" w:rsidRPr="00364551" w:rsidRDefault="005B32A6" w:rsidP="00410D29">
      <w:pPr>
        <w:pStyle w:val="ColorfulList-Accent11"/>
        <w:numPr>
          <w:ilvl w:val="0"/>
          <w:numId w:val="27"/>
        </w:numPr>
        <w:spacing w:after="0"/>
        <w:rPr>
          <w:sz w:val="24"/>
          <w:szCs w:val="24"/>
        </w:rPr>
      </w:pPr>
      <w:r w:rsidRPr="00364551">
        <w:rPr>
          <w:sz w:val="24"/>
          <w:szCs w:val="24"/>
        </w:rPr>
        <w:t>Marriage or Civil Partnership Status</w:t>
      </w:r>
    </w:p>
    <w:p w:rsidR="00410D29" w:rsidRPr="00364551" w:rsidRDefault="00433270" w:rsidP="00410D29">
      <w:pPr>
        <w:pStyle w:val="ColorfulList-Accent11"/>
        <w:spacing w:after="0"/>
        <w:rPr>
          <w:sz w:val="24"/>
          <w:szCs w:val="24"/>
        </w:rPr>
      </w:pPr>
    </w:p>
    <w:p w:rsidR="00410D29" w:rsidRPr="00364551" w:rsidRDefault="005B32A6" w:rsidP="00410D29">
      <w:pPr>
        <w:pStyle w:val="ColorfulList-Accent11"/>
        <w:spacing w:after="0"/>
        <w:ind w:left="0"/>
        <w:rPr>
          <w:sz w:val="24"/>
          <w:szCs w:val="24"/>
        </w:rPr>
      </w:pPr>
      <w:r w:rsidRPr="00364551">
        <w:rPr>
          <w:sz w:val="24"/>
          <w:szCs w:val="24"/>
        </w:rPr>
        <w:t xml:space="preserve">In considering this question you should identify and record any particular impact on people in a sub-group of any of the above – e.g. people with a particular disability or from a particular religious or ethnic group. </w:t>
      </w:r>
    </w:p>
    <w:p w:rsidR="00410D29" w:rsidRPr="00364551" w:rsidRDefault="00433270" w:rsidP="00410D29">
      <w:pPr>
        <w:pStyle w:val="ColorfulList-Accent11"/>
        <w:spacing w:after="0"/>
        <w:rPr>
          <w:sz w:val="24"/>
          <w:szCs w:val="24"/>
        </w:rPr>
      </w:pPr>
    </w:p>
    <w:p w:rsidR="00410D29" w:rsidRDefault="005B32A6" w:rsidP="00410D29">
      <w:pPr>
        <w:pStyle w:val="ColorfulList-Accent11"/>
        <w:spacing w:after="0"/>
        <w:ind w:left="0"/>
        <w:rPr>
          <w:sz w:val="24"/>
          <w:szCs w:val="24"/>
        </w:rPr>
      </w:pPr>
      <w:r w:rsidRPr="00364551">
        <w:rPr>
          <w:sz w:val="24"/>
          <w:szCs w:val="24"/>
        </w:rP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p w:rsidR="00410D29" w:rsidRPr="00364551" w:rsidRDefault="00433270" w:rsidP="00410D29">
      <w:pPr>
        <w:pStyle w:val="ColorfulList-Accent11"/>
        <w:spacing w:after="0"/>
        <w:ind w:left="0"/>
        <w:rPr>
          <w:sz w:val="24"/>
          <w:szCs w:val="24"/>
        </w:rPr>
      </w:pPr>
    </w:p>
    <w:tbl>
      <w:tblPr>
        <w:tblStyle w:val="TableGrid"/>
        <w:tblW w:w="0" w:type="auto"/>
        <w:tblLook w:val="04A0" w:firstRow="1" w:lastRow="0" w:firstColumn="1" w:lastColumn="0" w:noHBand="0" w:noVBand="1"/>
      </w:tblPr>
      <w:tblGrid>
        <w:gridCol w:w="9016"/>
      </w:tblGrid>
      <w:tr w:rsidR="00A00B5F" w:rsidTr="008F65C0">
        <w:tc>
          <w:tcPr>
            <w:tcW w:w="9016" w:type="dxa"/>
          </w:tcPr>
          <w:p w:rsidR="00410D29" w:rsidRDefault="005B32A6" w:rsidP="008F65C0">
            <w:pPr>
              <w:spacing w:after="0"/>
              <w:outlineLvl w:val="0"/>
            </w:pPr>
            <w:r>
              <w:t xml:space="preserve">Tables covering as many of the protected characteristics as we have data for are included on the following pages. </w:t>
            </w:r>
          </w:p>
          <w:p w:rsidR="00410D29" w:rsidRDefault="00433270" w:rsidP="008F65C0">
            <w:pPr>
              <w:spacing w:after="0"/>
              <w:outlineLvl w:val="0"/>
            </w:pPr>
          </w:p>
          <w:p w:rsidR="00410D29" w:rsidRPr="00D52580" w:rsidRDefault="005B32A6" w:rsidP="008F65C0">
            <w:pPr>
              <w:spacing w:after="0"/>
              <w:outlineLvl w:val="0"/>
            </w:pPr>
            <w:r w:rsidRPr="00322594">
              <w:t>The decision to cease FLW will have a disproportionate adverse impact on female part-time workers considerably more than any other group.</w:t>
            </w:r>
          </w:p>
        </w:tc>
      </w:tr>
    </w:tbl>
    <w:p w:rsidR="00410D29" w:rsidRDefault="00433270" w:rsidP="00410D29">
      <w:pPr>
        <w:pStyle w:val="ColorfulList-Accent11"/>
        <w:spacing w:after="0"/>
        <w:ind w:left="0"/>
      </w:pPr>
    </w:p>
    <w:p w:rsidR="00410D29" w:rsidRDefault="005B32A6" w:rsidP="00410D29">
      <w:pPr>
        <w:spacing w:after="0"/>
      </w:pPr>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A00B5F" w:rsidTr="008F65C0">
        <w:tc>
          <w:tcPr>
            <w:tcW w:w="9242" w:type="dxa"/>
          </w:tcPr>
          <w:p w:rsidR="00410D29" w:rsidRDefault="005B32A6" w:rsidP="008F65C0">
            <w:pPr>
              <w:spacing w:after="0"/>
              <w:outlineLvl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0D29" w:rsidRPr="00105992" w:rsidRDefault="00433270" w:rsidP="008F65C0">
            <w:pPr>
              <w:spacing w:after="0"/>
              <w:outlineLvl w:val="0"/>
              <w:rPr>
                <w:b/>
              </w:rPr>
            </w:pPr>
          </w:p>
        </w:tc>
      </w:tr>
    </w:tbl>
    <w:p w:rsidR="00410D29" w:rsidRDefault="00433270" w:rsidP="00410D29">
      <w:pPr>
        <w:spacing w:after="0"/>
      </w:pPr>
    </w:p>
    <w:p w:rsidR="00410D29" w:rsidRDefault="005B32A6" w:rsidP="00410D29">
      <w:pPr>
        <w:spacing w:after="0"/>
      </w:pPr>
      <w:r>
        <w:t>If you have answered "No" in relation to all the protected characteristics, 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00B5F" w:rsidTr="008F65C0">
        <w:tc>
          <w:tcPr>
            <w:tcW w:w="9242" w:type="dxa"/>
          </w:tcPr>
          <w:p w:rsidR="00410D29" w:rsidRDefault="005B32A6" w:rsidP="008F65C0">
            <w:pPr>
              <w:spacing w:after="0"/>
            </w:pPr>
            <w:r>
              <w:fldChar w:fldCharType="begin">
                <w:ffData>
                  <w:name w:val="Text11"/>
                  <w:enabled/>
                  <w:calcOnExit w:val="0"/>
                  <w:textInput/>
                </w:ffData>
              </w:fldChar>
            </w:r>
            <w:bookmarkStart w:id="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410D29" w:rsidRDefault="00433270" w:rsidP="008F65C0">
            <w:pPr>
              <w:spacing w:after="0"/>
            </w:pPr>
          </w:p>
        </w:tc>
      </w:tr>
    </w:tbl>
    <w:p w:rsidR="00410D29" w:rsidRDefault="00433270" w:rsidP="00410D29">
      <w:pPr>
        <w:spacing w:after="0"/>
        <w:sectPr w:rsidR="00410D29" w:rsidSect="003B1994">
          <w:headerReference w:type="default" r:id="rId14"/>
          <w:footerReference w:type="default" r:id="rId15"/>
          <w:pgSz w:w="11906" w:h="16838"/>
          <w:pgMar w:top="907" w:right="1440" w:bottom="794" w:left="1440" w:header="709" w:footer="709" w:gutter="0"/>
          <w:cols w:space="720"/>
          <w:docGrid w:linePitch="360"/>
        </w:sectPr>
      </w:pPr>
    </w:p>
    <w:p w:rsidR="00410D29" w:rsidRDefault="00433270" w:rsidP="00410D29">
      <w:pPr>
        <w:spacing w:after="0"/>
      </w:pPr>
    </w:p>
    <w:p w:rsidR="00410D29" w:rsidRDefault="005B32A6" w:rsidP="00410D29">
      <w:pPr>
        <w:spacing w:after="0"/>
        <w:rPr>
          <w:b/>
        </w:rPr>
        <w:sectPr w:rsidR="00410D29" w:rsidSect="00253FFB">
          <w:pgSz w:w="16838" w:h="11906" w:orient="landscape"/>
          <w:pgMar w:top="1440" w:right="907" w:bottom="1440" w:left="794" w:header="709" w:footer="709" w:gutter="0"/>
          <w:cols w:space="720"/>
          <w:docGrid w:linePitch="360"/>
        </w:sectPr>
      </w:pPr>
      <w:r w:rsidRPr="00EB1523">
        <w:rPr>
          <w:noProof/>
          <w:lang w:eastAsia="en-GB"/>
        </w:rPr>
        <w:drawing>
          <wp:inline distT="0" distB="0" distL="0" distR="0">
            <wp:extent cx="9611995" cy="4506399"/>
            <wp:effectExtent l="0" t="0" r="825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611995" cy="4506399"/>
                    </a:xfrm>
                    <a:prstGeom prst="rect">
                      <a:avLst/>
                    </a:prstGeom>
                    <a:noFill/>
                    <a:ln>
                      <a:noFill/>
                    </a:ln>
                  </pic:spPr>
                </pic:pic>
              </a:graphicData>
            </a:graphic>
          </wp:inline>
        </w:drawing>
      </w:r>
    </w:p>
    <w:p w:rsidR="00410D29" w:rsidRDefault="00433270" w:rsidP="00410D29">
      <w:pPr>
        <w:spacing w:after="0"/>
        <w:rPr>
          <w:b/>
        </w:rPr>
      </w:pPr>
    </w:p>
    <w:p w:rsidR="00410D29" w:rsidRDefault="005B32A6" w:rsidP="00410D29">
      <w:pPr>
        <w:spacing w:after="0"/>
        <w:rPr>
          <w:b/>
        </w:rPr>
      </w:pPr>
      <w:r w:rsidRPr="004A6C70">
        <w:rPr>
          <w:noProof/>
          <w:lang w:eastAsia="en-GB"/>
        </w:rPr>
        <w:drawing>
          <wp:inline distT="0" distB="0" distL="0" distR="0">
            <wp:extent cx="9611995" cy="1976944"/>
            <wp:effectExtent l="0" t="0" r="825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611995" cy="1976944"/>
                    </a:xfrm>
                    <a:prstGeom prst="rect">
                      <a:avLst/>
                    </a:prstGeom>
                    <a:noFill/>
                    <a:ln>
                      <a:noFill/>
                    </a:ln>
                  </pic:spPr>
                </pic:pic>
              </a:graphicData>
            </a:graphic>
          </wp:inline>
        </w:drawing>
      </w:r>
    </w:p>
    <w:p w:rsidR="00410D29" w:rsidRDefault="00433270" w:rsidP="00410D29">
      <w:pPr>
        <w:spacing w:after="0"/>
        <w:rPr>
          <w:b/>
        </w:rPr>
      </w:pPr>
    </w:p>
    <w:p w:rsidR="00410D29" w:rsidRDefault="005B32A6" w:rsidP="00410D29">
      <w:pPr>
        <w:spacing w:after="0"/>
        <w:rPr>
          <w:b/>
        </w:rPr>
      </w:pPr>
      <w:r w:rsidRPr="004A6C70">
        <w:rPr>
          <w:noProof/>
          <w:lang w:eastAsia="en-GB"/>
        </w:rPr>
        <w:drawing>
          <wp:inline distT="0" distB="0" distL="0" distR="0">
            <wp:extent cx="9611995" cy="2399629"/>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9611995" cy="2399629"/>
                    </a:xfrm>
                    <a:prstGeom prst="rect">
                      <a:avLst/>
                    </a:prstGeom>
                    <a:noFill/>
                    <a:ln>
                      <a:noFill/>
                    </a:ln>
                  </pic:spPr>
                </pic:pic>
              </a:graphicData>
            </a:graphic>
          </wp:inline>
        </w:drawing>
      </w:r>
    </w:p>
    <w:p w:rsidR="00410D29" w:rsidRDefault="00433270" w:rsidP="00410D29">
      <w:pPr>
        <w:autoSpaceDE/>
        <w:autoSpaceDN/>
        <w:adjustRightInd/>
        <w:spacing w:after="0"/>
        <w:jc w:val="left"/>
      </w:pPr>
    </w:p>
    <w:p w:rsidR="00410D29" w:rsidRDefault="005B32A6" w:rsidP="00410D29">
      <w:pPr>
        <w:autoSpaceDE/>
        <w:autoSpaceDN/>
        <w:adjustRightInd/>
        <w:spacing w:after="0"/>
        <w:jc w:val="left"/>
      </w:pPr>
      <w:r w:rsidRPr="00EB1523">
        <w:rPr>
          <w:noProof/>
          <w:lang w:eastAsia="en-GB"/>
        </w:rPr>
        <w:drawing>
          <wp:inline distT="0" distB="0" distL="0" distR="0">
            <wp:extent cx="9611995" cy="1963043"/>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9611995" cy="1963043"/>
                    </a:xfrm>
                    <a:prstGeom prst="rect">
                      <a:avLst/>
                    </a:prstGeom>
                    <a:noFill/>
                    <a:ln>
                      <a:noFill/>
                    </a:ln>
                  </pic:spPr>
                </pic:pic>
              </a:graphicData>
            </a:graphic>
          </wp:inline>
        </w:drawing>
      </w:r>
    </w:p>
    <w:p w:rsidR="00410D29" w:rsidRDefault="00433270" w:rsidP="00410D29">
      <w:pPr>
        <w:autoSpaceDE/>
        <w:autoSpaceDN/>
        <w:adjustRightInd/>
        <w:spacing w:after="0"/>
        <w:jc w:val="left"/>
      </w:pPr>
    </w:p>
    <w:p w:rsidR="00410D29" w:rsidRDefault="00433270" w:rsidP="00410D29">
      <w:pPr>
        <w:autoSpaceDE/>
        <w:autoSpaceDN/>
        <w:adjustRightInd/>
        <w:spacing w:after="0"/>
        <w:jc w:val="left"/>
      </w:pPr>
    </w:p>
    <w:p w:rsidR="00410D29" w:rsidRDefault="00433270" w:rsidP="00410D29">
      <w:pPr>
        <w:autoSpaceDE/>
        <w:autoSpaceDN/>
        <w:adjustRightInd/>
        <w:spacing w:after="0"/>
        <w:jc w:val="left"/>
        <w:rPr>
          <w:b/>
        </w:rPr>
      </w:pPr>
    </w:p>
    <w:p w:rsidR="00410D29" w:rsidRDefault="00433270" w:rsidP="00410D29">
      <w:pPr>
        <w:spacing w:after="0"/>
        <w:rPr>
          <w:b/>
        </w:rPr>
        <w:sectPr w:rsidR="00410D29" w:rsidSect="003F034A">
          <w:pgSz w:w="16838" w:h="11906" w:orient="landscape"/>
          <w:pgMar w:top="1440" w:right="907" w:bottom="1440" w:left="794" w:header="709" w:footer="709" w:gutter="0"/>
          <w:cols w:space="720"/>
          <w:docGrid w:linePitch="360"/>
        </w:sectPr>
      </w:pPr>
    </w:p>
    <w:p w:rsidR="00410D29" w:rsidRDefault="00433270" w:rsidP="00410D29">
      <w:pPr>
        <w:spacing w:after="0"/>
        <w:rPr>
          <w:b/>
        </w:rPr>
      </w:pPr>
    </w:p>
    <w:p w:rsidR="00410D29" w:rsidRPr="00500678" w:rsidRDefault="005B32A6" w:rsidP="00410D29">
      <w:pPr>
        <w:spacing w:after="0"/>
        <w:outlineLvl w:val="0"/>
        <w:rPr>
          <w:b/>
        </w:rPr>
      </w:pPr>
      <w:r w:rsidRPr="00500678">
        <w:rPr>
          <w:b/>
        </w:rPr>
        <w:t xml:space="preserve">Question </w:t>
      </w:r>
      <w:r>
        <w:rPr>
          <w:b/>
        </w:rPr>
        <w:t>1 – Background Evidence</w:t>
      </w:r>
    </w:p>
    <w:p w:rsidR="00410D29" w:rsidRDefault="005B32A6" w:rsidP="00410D29">
      <w:pPr>
        <w:spacing w:after="0"/>
      </w:pPr>
      <w: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rsidR="00410D29" w:rsidRDefault="00433270" w:rsidP="00410D29">
      <w:pPr>
        <w:spacing w:after="0"/>
      </w:pPr>
    </w:p>
    <w:p w:rsidR="00410D29" w:rsidRPr="00364551" w:rsidRDefault="005B32A6" w:rsidP="00410D29">
      <w:pPr>
        <w:pStyle w:val="ColorfulList-Accent11"/>
        <w:numPr>
          <w:ilvl w:val="0"/>
          <w:numId w:val="27"/>
        </w:numPr>
        <w:spacing w:after="0"/>
        <w:rPr>
          <w:sz w:val="24"/>
          <w:szCs w:val="24"/>
        </w:rPr>
      </w:pPr>
      <w:r w:rsidRPr="00364551">
        <w:rPr>
          <w:sz w:val="24"/>
          <w:szCs w:val="24"/>
        </w:rPr>
        <w:t>Age</w:t>
      </w:r>
    </w:p>
    <w:p w:rsidR="00410D29" w:rsidRPr="00364551" w:rsidRDefault="005B32A6" w:rsidP="00410D29">
      <w:pPr>
        <w:pStyle w:val="ColorfulList-Accent11"/>
        <w:numPr>
          <w:ilvl w:val="0"/>
          <w:numId w:val="27"/>
        </w:numPr>
        <w:spacing w:after="0"/>
        <w:rPr>
          <w:sz w:val="24"/>
          <w:szCs w:val="24"/>
        </w:rPr>
      </w:pPr>
      <w:r w:rsidRPr="00364551">
        <w:rPr>
          <w:sz w:val="24"/>
          <w:szCs w:val="24"/>
        </w:rPr>
        <w:t>Disability including Deaf people</w:t>
      </w:r>
    </w:p>
    <w:p w:rsidR="00410D29" w:rsidRPr="00364551" w:rsidRDefault="005B32A6" w:rsidP="00410D29">
      <w:pPr>
        <w:pStyle w:val="ColorfulList-Accent11"/>
        <w:numPr>
          <w:ilvl w:val="0"/>
          <w:numId w:val="27"/>
        </w:numPr>
        <w:spacing w:after="0"/>
        <w:rPr>
          <w:sz w:val="24"/>
          <w:szCs w:val="24"/>
        </w:rPr>
      </w:pPr>
      <w:r w:rsidRPr="00364551">
        <w:rPr>
          <w:sz w:val="24"/>
          <w:szCs w:val="24"/>
        </w:rPr>
        <w:t>Gender reassignment/gender identity</w:t>
      </w:r>
    </w:p>
    <w:p w:rsidR="00410D29" w:rsidRPr="00364551" w:rsidRDefault="005B32A6" w:rsidP="00410D29">
      <w:pPr>
        <w:pStyle w:val="ColorfulList-Accent11"/>
        <w:numPr>
          <w:ilvl w:val="0"/>
          <w:numId w:val="27"/>
        </w:numPr>
        <w:spacing w:after="0"/>
        <w:rPr>
          <w:sz w:val="24"/>
          <w:szCs w:val="24"/>
        </w:rPr>
      </w:pPr>
      <w:r w:rsidRPr="00364551">
        <w:rPr>
          <w:sz w:val="24"/>
          <w:szCs w:val="24"/>
        </w:rPr>
        <w:t>Pregnancy and maternity</w:t>
      </w:r>
    </w:p>
    <w:p w:rsidR="00410D29" w:rsidRPr="00364551" w:rsidRDefault="005B32A6" w:rsidP="00410D29">
      <w:pPr>
        <w:pStyle w:val="ColorfulList-Accent11"/>
        <w:numPr>
          <w:ilvl w:val="0"/>
          <w:numId w:val="27"/>
        </w:numPr>
        <w:spacing w:after="0"/>
        <w:rPr>
          <w:sz w:val="24"/>
          <w:szCs w:val="24"/>
        </w:rPr>
      </w:pPr>
      <w:r w:rsidRPr="00364551">
        <w:rPr>
          <w:sz w:val="24"/>
          <w:szCs w:val="24"/>
        </w:rPr>
        <w:t>Race/Ethnicity/Nationality</w:t>
      </w:r>
    </w:p>
    <w:p w:rsidR="00410D29" w:rsidRPr="00364551" w:rsidRDefault="005B32A6" w:rsidP="00410D29">
      <w:pPr>
        <w:pStyle w:val="ColorfulList-Accent11"/>
        <w:numPr>
          <w:ilvl w:val="0"/>
          <w:numId w:val="27"/>
        </w:numPr>
        <w:spacing w:after="0"/>
        <w:rPr>
          <w:sz w:val="24"/>
          <w:szCs w:val="24"/>
        </w:rPr>
      </w:pPr>
      <w:r w:rsidRPr="00364551">
        <w:rPr>
          <w:sz w:val="24"/>
          <w:szCs w:val="24"/>
        </w:rPr>
        <w:t>Religion or belief</w:t>
      </w:r>
    </w:p>
    <w:p w:rsidR="00410D29" w:rsidRPr="00364551" w:rsidRDefault="005B32A6" w:rsidP="00410D29">
      <w:pPr>
        <w:pStyle w:val="ColorfulList-Accent11"/>
        <w:numPr>
          <w:ilvl w:val="0"/>
          <w:numId w:val="27"/>
        </w:numPr>
        <w:spacing w:after="0"/>
        <w:rPr>
          <w:sz w:val="24"/>
          <w:szCs w:val="24"/>
        </w:rPr>
      </w:pPr>
      <w:r w:rsidRPr="00364551">
        <w:rPr>
          <w:sz w:val="24"/>
          <w:szCs w:val="24"/>
        </w:rPr>
        <w:t>Sex/gender</w:t>
      </w:r>
    </w:p>
    <w:p w:rsidR="00410D29" w:rsidRPr="00364551" w:rsidRDefault="005B32A6" w:rsidP="00410D29">
      <w:pPr>
        <w:pStyle w:val="ColorfulList-Accent11"/>
        <w:numPr>
          <w:ilvl w:val="0"/>
          <w:numId w:val="27"/>
        </w:numPr>
        <w:spacing w:after="0"/>
        <w:rPr>
          <w:sz w:val="24"/>
          <w:szCs w:val="24"/>
        </w:rPr>
      </w:pPr>
      <w:r w:rsidRPr="00364551">
        <w:rPr>
          <w:sz w:val="24"/>
          <w:szCs w:val="24"/>
        </w:rPr>
        <w:t>Sexual orientation</w:t>
      </w:r>
    </w:p>
    <w:p w:rsidR="00410D29" w:rsidRDefault="005B32A6" w:rsidP="00410D29">
      <w:pPr>
        <w:pStyle w:val="ColorfulList-Accent11"/>
        <w:numPr>
          <w:ilvl w:val="0"/>
          <w:numId w:val="27"/>
        </w:numPr>
        <w:spacing w:after="0"/>
        <w:rPr>
          <w:sz w:val="24"/>
          <w:szCs w:val="24"/>
        </w:rPr>
      </w:pPr>
      <w:r w:rsidRPr="00364551">
        <w:rPr>
          <w:sz w:val="24"/>
          <w:szCs w:val="24"/>
        </w:rPr>
        <w:t xml:space="preserve">Marriage or Civil Partnership status  (in respect of  which the s. 149 requires only that due regard be paid to the need to eliminate discrimination, harassment or victimisation or other conduct which is prohibited by the Act). </w:t>
      </w:r>
    </w:p>
    <w:p w:rsidR="00410D29" w:rsidRPr="00364551" w:rsidRDefault="00433270" w:rsidP="00410D29">
      <w:pPr>
        <w:pStyle w:val="ColorfulList-Accent11"/>
        <w:spacing w:after="0"/>
        <w:rPr>
          <w:sz w:val="24"/>
          <w:szCs w:val="24"/>
        </w:rPr>
      </w:pPr>
    </w:p>
    <w:p w:rsidR="00410D29" w:rsidRPr="00364551" w:rsidRDefault="005B32A6" w:rsidP="00410D29">
      <w:pPr>
        <w:pStyle w:val="ColorfulList-Accent11"/>
        <w:spacing w:after="0"/>
        <w:ind w:left="0"/>
        <w:rPr>
          <w:sz w:val="24"/>
          <w:szCs w:val="24"/>
        </w:rPr>
      </w:pPr>
      <w:r w:rsidRPr="00364551">
        <w:rPr>
          <w:sz w:val="24"/>
          <w:szCs w:val="24"/>
        </w:rP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410D29" w:rsidRDefault="00433270" w:rsidP="00410D29">
      <w:pPr>
        <w:pStyle w:val="ColorfulList-Accent11"/>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00B5F" w:rsidTr="008F65C0">
        <w:tc>
          <w:tcPr>
            <w:tcW w:w="9242" w:type="dxa"/>
          </w:tcPr>
          <w:p w:rsidR="00410D29" w:rsidRDefault="005B32A6" w:rsidP="008F65C0">
            <w:pPr>
              <w:spacing w:after="0"/>
              <w:outlineLvl w:val="0"/>
            </w:pPr>
            <w:r>
              <w:t>32% of the affected workforce are aged 50-59, however there are considerable numbers of staff affected across other age ranges.</w:t>
            </w:r>
          </w:p>
          <w:p w:rsidR="00410D29" w:rsidRDefault="00433270" w:rsidP="008F65C0">
            <w:pPr>
              <w:spacing w:after="0"/>
              <w:outlineLvl w:val="0"/>
            </w:pPr>
          </w:p>
          <w:p w:rsidR="00410D29" w:rsidRDefault="005B32A6" w:rsidP="008F65C0">
            <w:pPr>
              <w:spacing w:after="0"/>
              <w:outlineLvl w:val="0"/>
            </w:pPr>
            <w:r>
              <w:t xml:space="preserve">41% of the affected workforce have identified as being white British and the remainder </w:t>
            </w:r>
            <w:r w:rsidR="003A7AED">
              <w:t>are</w:t>
            </w:r>
            <w:r>
              <w:t xml:space="preserve"> either unknown or another ethnicity.</w:t>
            </w:r>
          </w:p>
          <w:p w:rsidR="00410D29" w:rsidRDefault="00433270" w:rsidP="008F65C0">
            <w:pPr>
              <w:spacing w:after="0"/>
              <w:outlineLvl w:val="0"/>
            </w:pPr>
          </w:p>
          <w:p w:rsidR="00410D29" w:rsidRDefault="005B32A6" w:rsidP="008F65C0">
            <w:pPr>
              <w:spacing w:after="0"/>
              <w:outlineLvl w:val="0"/>
            </w:pPr>
            <w:r>
              <w:t>49% of the affected workforce have identified themselves as n</w:t>
            </w:r>
            <w:r w:rsidR="003A7AED">
              <w:t>ot having a disability and</w:t>
            </w:r>
            <w:r>
              <w:t xml:space="preserve"> 50% is unknown, only 1% have declared a disability.</w:t>
            </w:r>
          </w:p>
          <w:p w:rsidR="00410D29" w:rsidRDefault="00433270" w:rsidP="008F65C0">
            <w:pPr>
              <w:spacing w:after="0"/>
              <w:outlineLvl w:val="0"/>
            </w:pPr>
          </w:p>
          <w:p w:rsidR="00410D29" w:rsidRDefault="005B32A6" w:rsidP="008F65C0">
            <w:pPr>
              <w:spacing w:after="0"/>
              <w:outlineLvl w:val="0"/>
            </w:pPr>
            <w:r>
              <w:t>T</w:t>
            </w:r>
            <w:r w:rsidRPr="00A248EF">
              <w:t xml:space="preserve">he level of </w:t>
            </w:r>
            <w:r>
              <w:t>u</w:t>
            </w:r>
            <w:r w:rsidRPr="00A248EF">
              <w:t>nknown entries for both disability and ethnicity makes it difficult to draw a clear view of the potential impact on these pr</w:t>
            </w:r>
            <w:r>
              <w:t>otected characteristic groups.</w:t>
            </w:r>
          </w:p>
          <w:p w:rsidR="00410D29" w:rsidRDefault="00433270" w:rsidP="008F65C0">
            <w:pPr>
              <w:spacing w:after="0"/>
              <w:outlineLvl w:val="0"/>
            </w:pPr>
          </w:p>
          <w:p w:rsidR="00410D29" w:rsidRDefault="005B32A6" w:rsidP="008F65C0">
            <w:pPr>
              <w:spacing w:after="0"/>
              <w:outlineLvl w:val="0"/>
            </w:pPr>
            <w:r>
              <w:t xml:space="preserve">The decision to cease FLW will have a </w:t>
            </w:r>
            <w:r w:rsidRPr="00A248EF">
              <w:t xml:space="preserve">disproportionate adverse impact on </w:t>
            </w:r>
            <w:r>
              <w:t>female part-time workers considerably more than any other group.</w:t>
            </w:r>
          </w:p>
          <w:p w:rsidR="00410D29" w:rsidRDefault="00433270" w:rsidP="008F65C0">
            <w:pPr>
              <w:spacing w:after="0"/>
              <w:outlineLvl w:val="0"/>
            </w:pPr>
          </w:p>
          <w:p w:rsidR="00410D29" w:rsidRDefault="005B32A6" w:rsidP="008F65C0">
            <w:pPr>
              <w:spacing w:after="0"/>
              <w:outlineLvl w:val="0"/>
            </w:pPr>
            <w:r>
              <w:t>A significant number are casual/supply workers.</w:t>
            </w:r>
          </w:p>
          <w:p w:rsidR="00410D29" w:rsidRDefault="00433270" w:rsidP="008F65C0">
            <w:pPr>
              <w:spacing w:after="0"/>
              <w:outlineLvl w:val="0"/>
            </w:pPr>
          </w:p>
        </w:tc>
      </w:tr>
    </w:tbl>
    <w:p w:rsidR="00410D29" w:rsidRDefault="00433270" w:rsidP="00410D29">
      <w:pPr>
        <w:spacing w:after="0"/>
      </w:pPr>
    </w:p>
    <w:p w:rsidR="00410D29" w:rsidRDefault="005B32A6" w:rsidP="00410D29">
      <w:pPr>
        <w:spacing w:after="0"/>
        <w:rPr>
          <w:b/>
        </w:rPr>
      </w:pPr>
      <w:r>
        <w:rPr>
          <w:b/>
        </w:rPr>
        <w:t>Question 2 – Engagement/Consultation</w:t>
      </w:r>
    </w:p>
    <w:p w:rsidR="00410D29" w:rsidRDefault="005B32A6" w:rsidP="00410D29">
      <w:pPr>
        <w:spacing w:after="0"/>
      </w:pPr>
      <w:r>
        <w:t xml:space="preserve">How have you tried to involve people/groups that are potentially affected by your decision?   Please describe what engagement has taken place, with whom and when. </w:t>
      </w:r>
    </w:p>
    <w:p w:rsidR="00410D29" w:rsidRDefault="005B32A6" w:rsidP="00410D29">
      <w:pPr>
        <w:spacing w:after="0"/>
      </w:pPr>
      <w:r>
        <w:t>(Please ensure that you retain evidence of the consultation in case of any further enquiries. This includes the results of consultation or data gathering at any stage of the process)</w:t>
      </w:r>
    </w:p>
    <w:p w:rsidR="00410D29" w:rsidRDefault="00433270" w:rsidP="00410D29">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00B5F" w:rsidTr="008F65C0">
        <w:tc>
          <w:tcPr>
            <w:tcW w:w="9242" w:type="dxa"/>
          </w:tcPr>
          <w:p w:rsidR="00410D29" w:rsidRDefault="005B32A6" w:rsidP="008F65C0">
            <w:pPr>
              <w:spacing w:after="0"/>
            </w:pPr>
            <w:r>
              <w:t>I</w:t>
            </w:r>
            <w:r w:rsidRPr="00973842">
              <w:t>t is intended to follow normal consultation procedures if the proposal is agreed in principle.</w:t>
            </w:r>
          </w:p>
          <w:p w:rsidR="00410D29" w:rsidRDefault="00433270" w:rsidP="008F65C0">
            <w:pPr>
              <w:spacing w:after="0"/>
            </w:pPr>
          </w:p>
          <w:p w:rsidR="00410D29" w:rsidRDefault="005B32A6" w:rsidP="008F65C0">
            <w:pPr>
              <w:spacing w:after="0"/>
            </w:pPr>
            <w:r>
              <w:t>At this stage, there has been no consultation with the groups potentially affected by this option.</w:t>
            </w:r>
          </w:p>
        </w:tc>
      </w:tr>
    </w:tbl>
    <w:p w:rsidR="00410D29" w:rsidRDefault="00433270" w:rsidP="00410D29">
      <w:pPr>
        <w:spacing w:after="0"/>
      </w:pPr>
    </w:p>
    <w:p w:rsidR="00410D29" w:rsidRDefault="005B32A6" w:rsidP="00410D29">
      <w:pPr>
        <w:spacing w:after="0"/>
        <w:outlineLvl w:val="0"/>
        <w:rPr>
          <w:b/>
        </w:rPr>
      </w:pPr>
      <w:r w:rsidRPr="00500678">
        <w:rPr>
          <w:b/>
        </w:rPr>
        <w:t xml:space="preserve">Question </w:t>
      </w:r>
      <w:r>
        <w:rPr>
          <w:b/>
        </w:rPr>
        <w:t xml:space="preserve">3 – Analysing Impact </w:t>
      </w:r>
    </w:p>
    <w:p w:rsidR="00410D29" w:rsidRDefault="005B32A6" w:rsidP="00410D29">
      <w:pPr>
        <w:spacing w:after="0"/>
      </w:pPr>
      <w:r>
        <w:t>Could your proposal potentially disadvantage particular groups sharing any of the protected characteristics and if so which groups and in what way?</w:t>
      </w:r>
    </w:p>
    <w:p w:rsidR="00410D29" w:rsidRDefault="00433270" w:rsidP="00410D29">
      <w:pPr>
        <w:spacing w:after="0"/>
      </w:pPr>
    </w:p>
    <w:p w:rsidR="00410D29" w:rsidRDefault="005B32A6" w:rsidP="00410D29">
      <w:pPr>
        <w:spacing w:after="0"/>
      </w:pPr>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410D29" w:rsidRDefault="00433270" w:rsidP="00410D29">
      <w:pPr>
        <w:spacing w:after="0"/>
      </w:pPr>
    </w:p>
    <w:p w:rsidR="00410D29" w:rsidRDefault="005B32A6" w:rsidP="00410D29">
      <w:pPr>
        <w:spacing w:after="0"/>
      </w:pPr>
      <w:r>
        <w:t>Could your proposal potentially impact on individuals sharing the protected characteristics in any of the following ways:</w:t>
      </w:r>
    </w:p>
    <w:p w:rsidR="00410D29" w:rsidRDefault="00433270" w:rsidP="00410D29">
      <w:pPr>
        <w:spacing w:after="0"/>
      </w:pPr>
    </w:p>
    <w:p w:rsidR="00410D29" w:rsidRDefault="005B32A6" w:rsidP="00410D29">
      <w:pPr>
        <w:spacing w:after="0"/>
        <w:ind w:left="720" w:hanging="360"/>
      </w:pPr>
      <w:r>
        <w:t>-</w:t>
      </w:r>
      <w:r>
        <w:tab/>
      </w:r>
      <w:r w:rsidRPr="00364551">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410D29" w:rsidRPr="00364551" w:rsidRDefault="00433270" w:rsidP="00410D29">
      <w:pPr>
        <w:spacing w:after="0"/>
        <w:ind w:left="720" w:hanging="360"/>
      </w:pPr>
    </w:p>
    <w:p w:rsidR="00410D29" w:rsidRPr="00364551" w:rsidRDefault="005B32A6" w:rsidP="00410D29">
      <w:pPr>
        <w:pStyle w:val="ColorfulList-Accent11"/>
        <w:numPr>
          <w:ilvl w:val="0"/>
          <w:numId w:val="29"/>
        </w:numPr>
        <w:spacing w:after="0"/>
        <w:rPr>
          <w:sz w:val="24"/>
          <w:szCs w:val="24"/>
        </w:rPr>
      </w:pPr>
      <w:r w:rsidRPr="00364551">
        <w:rPr>
          <w:sz w:val="24"/>
          <w:szCs w:val="24"/>
        </w:rPr>
        <w:t xml:space="preserve">Could it advance equality of opportunity for those who share a particular protected characteristic? If not could it be developed or modified in order to do so? </w:t>
      </w:r>
    </w:p>
    <w:p w:rsidR="00410D29" w:rsidRPr="00364551" w:rsidRDefault="00433270" w:rsidP="00410D29">
      <w:pPr>
        <w:pStyle w:val="ColorfulList-Accent11"/>
        <w:spacing w:after="0"/>
        <w:rPr>
          <w:sz w:val="24"/>
          <w:szCs w:val="24"/>
        </w:rPr>
      </w:pPr>
    </w:p>
    <w:p w:rsidR="00410D29" w:rsidRPr="00364551" w:rsidRDefault="005B32A6" w:rsidP="00410D29">
      <w:pPr>
        <w:pStyle w:val="ColorfulList-Accent11"/>
        <w:numPr>
          <w:ilvl w:val="0"/>
          <w:numId w:val="28"/>
        </w:numPr>
        <w:spacing w:after="0"/>
        <w:rPr>
          <w:sz w:val="24"/>
          <w:szCs w:val="24"/>
        </w:rPr>
      </w:pPr>
      <w:r w:rsidRPr="00364551">
        <w:rPr>
          <w:sz w:val="24"/>
          <w:szCs w:val="24"/>
        </w:rPr>
        <w:t>Does it encourage persons who share a relevant protected characteristic to participate in public life or in any activity in which participation by such persons is disproportionately low? If not could it be developed or modified in order to do so?</w:t>
      </w:r>
    </w:p>
    <w:p w:rsidR="00410D29" w:rsidRDefault="00433270" w:rsidP="00410D29">
      <w:pPr>
        <w:pStyle w:val="ColorfulList-Accent11"/>
        <w:spacing w:after="0"/>
      </w:pPr>
    </w:p>
    <w:p w:rsidR="00410D29" w:rsidRDefault="005B32A6" w:rsidP="00410D29">
      <w:pPr>
        <w:numPr>
          <w:ilvl w:val="0"/>
          <w:numId w:val="28"/>
        </w:numPr>
        <w:autoSpaceDE/>
        <w:autoSpaceDN/>
        <w:adjustRightInd/>
        <w:spacing w:after="0" w:line="276" w:lineRule="auto"/>
        <w:jc w:val="left"/>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p w:rsidR="00410D29" w:rsidRDefault="00433270" w:rsidP="00410D29">
      <w:pPr>
        <w:autoSpaceDE/>
        <w:autoSpaceDN/>
        <w:adjustRightInd/>
        <w:spacing w:after="0" w:line="276" w:lineRule="auto"/>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00B5F" w:rsidTr="008F65C0">
        <w:tc>
          <w:tcPr>
            <w:tcW w:w="9242" w:type="dxa"/>
          </w:tcPr>
          <w:p w:rsidR="00410D29" w:rsidRDefault="005B32A6" w:rsidP="008F65C0">
            <w:pPr>
              <w:spacing w:after="0"/>
            </w:pPr>
            <w:r>
              <w:t>I</w:t>
            </w:r>
            <w:r w:rsidRPr="00973842">
              <w:t xml:space="preserve">f the proposal goes ahead it would be achieved by not increasing the FLW for staff in posts affected until the </w:t>
            </w:r>
            <w:r>
              <w:t>NL</w:t>
            </w:r>
            <w:r w:rsidRPr="00973842">
              <w:t>W reached the same level (estimated to be in 2020/21).  This is likely to impact on female employees as they form the vast majority of employees in posts affected.  Although</w:t>
            </w:r>
            <w:r>
              <w:t>,</w:t>
            </w:r>
            <w:r w:rsidRPr="00973842">
              <w:t xml:space="preserve"> at this time</w:t>
            </w:r>
            <w:r>
              <w:t>,</w:t>
            </w:r>
            <w:r w:rsidRPr="00973842">
              <w:t xml:space="preserve"> rises in the FLW exceed those </w:t>
            </w:r>
            <w:r>
              <w:t>for other LCC employees.  S</w:t>
            </w:r>
            <w:r w:rsidRPr="00973842">
              <w:t xml:space="preserve">hould the proposal take effect </w:t>
            </w:r>
            <w:r>
              <w:t xml:space="preserve">it is estimated that </w:t>
            </w:r>
            <w:r w:rsidRPr="00973842">
              <w:t xml:space="preserve">these employees would not receive any increase in pay </w:t>
            </w:r>
            <w:r>
              <w:t>until 2020/21</w:t>
            </w:r>
            <w:r w:rsidRPr="00973842">
              <w:t xml:space="preserve">.  This would inevitably impact on their income and so impact adversely on advancing equality of opportunity for this group of employees. </w:t>
            </w:r>
          </w:p>
        </w:tc>
      </w:tr>
    </w:tbl>
    <w:p w:rsidR="00410D29" w:rsidRPr="00884B56" w:rsidRDefault="00433270" w:rsidP="00410D29">
      <w:pPr>
        <w:spacing w:after="0"/>
      </w:pPr>
    </w:p>
    <w:p w:rsidR="00410D29" w:rsidRDefault="005B32A6" w:rsidP="00410D29">
      <w:pPr>
        <w:spacing w:after="0"/>
        <w:outlineLvl w:val="0"/>
        <w:rPr>
          <w:b/>
        </w:rPr>
      </w:pPr>
      <w:r w:rsidRPr="00A07547">
        <w:rPr>
          <w:b/>
        </w:rPr>
        <w:t xml:space="preserve">Question </w:t>
      </w:r>
      <w:r>
        <w:rPr>
          <w:b/>
        </w:rPr>
        <w:t>4 –Combined/Cumulative Effect</w:t>
      </w:r>
    </w:p>
    <w:p w:rsidR="00410D29" w:rsidRDefault="005B32A6" w:rsidP="00410D29">
      <w:pPr>
        <w:spacing w:after="0"/>
      </w:pPr>
      <w:r>
        <w:t>Could the effects of your decision combine with other factors or decisions taken at local or national level to exacerbate the impact on any groups?</w:t>
      </w:r>
    </w:p>
    <w:p w:rsidR="00410D29" w:rsidRDefault="00433270" w:rsidP="00410D29">
      <w:pPr>
        <w:spacing w:after="0"/>
      </w:pPr>
    </w:p>
    <w:p w:rsidR="00410D29" w:rsidRDefault="005B32A6" w:rsidP="00410D29">
      <w:pPr>
        <w:spacing w:after="0"/>
      </w:pPr>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410D29" w:rsidRDefault="00433270" w:rsidP="00410D29">
      <w:pPr>
        <w:spacing w:after="0"/>
      </w:pPr>
    </w:p>
    <w:p w:rsidR="00410D29" w:rsidRDefault="005B32A6" w:rsidP="00410D29">
      <w:pPr>
        <w:spacing w:after="0"/>
      </w:pPr>
      <w:r>
        <w:t>If Yes – please identify these.</w:t>
      </w:r>
    </w:p>
    <w:p w:rsidR="00410D29" w:rsidRPr="00703828" w:rsidRDefault="00433270" w:rsidP="00410D29">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00B5F" w:rsidTr="008F65C0">
        <w:tc>
          <w:tcPr>
            <w:tcW w:w="9242" w:type="dxa"/>
          </w:tcPr>
          <w:p w:rsidR="00410D29" w:rsidRDefault="005B32A6" w:rsidP="008F65C0">
            <w:pPr>
              <w:spacing w:after="0"/>
            </w:pPr>
            <w:r>
              <w:t>Depends on what other options go forward. If there are options which impact on pay and conditions there will potentially be a cumulative impact on this group.</w:t>
            </w:r>
          </w:p>
          <w:p w:rsidR="00410D29" w:rsidRDefault="00433270" w:rsidP="008F65C0">
            <w:pPr>
              <w:spacing w:after="0"/>
            </w:pPr>
          </w:p>
          <w:p w:rsidR="00410D29" w:rsidRDefault="005B32A6" w:rsidP="008F65C0">
            <w:pPr>
              <w:spacing w:after="0"/>
            </w:pPr>
            <w:r>
              <w:t>There are also some broader</w:t>
            </w:r>
            <w:r w:rsidRPr="00973842">
              <w:t xml:space="preserve"> national factors such as rises in inflation/cost of living which could also combine to increase the impact of the proposal.  </w:t>
            </w:r>
          </w:p>
          <w:p w:rsidR="00410D29" w:rsidRDefault="00433270" w:rsidP="008F65C0">
            <w:pPr>
              <w:spacing w:after="0"/>
            </w:pPr>
          </w:p>
          <w:p w:rsidR="00410D29" w:rsidRPr="003C2620" w:rsidRDefault="00433270" w:rsidP="008F65C0">
            <w:pPr>
              <w:spacing w:after="0"/>
            </w:pPr>
          </w:p>
        </w:tc>
      </w:tr>
    </w:tbl>
    <w:p w:rsidR="00410D29" w:rsidRDefault="00433270" w:rsidP="00410D29">
      <w:pPr>
        <w:spacing w:after="0"/>
        <w:rPr>
          <w:b/>
        </w:rPr>
      </w:pPr>
    </w:p>
    <w:p w:rsidR="00410D29" w:rsidRDefault="00433270" w:rsidP="00410D29">
      <w:pPr>
        <w:spacing w:after="0"/>
        <w:rPr>
          <w:b/>
        </w:rPr>
      </w:pPr>
    </w:p>
    <w:p w:rsidR="00410D29" w:rsidRDefault="005B32A6" w:rsidP="00410D29">
      <w:pPr>
        <w:spacing w:after="0"/>
        <w:outlineLvl w:val="0"/>
        <w:rPr>
          <w:b/>
        </w:rPr>
      </w:pPr>
      <w:r>
        <w:rPr>
          <w:b/>
        </w:rPr>
        <w:t>Question 5 – Identifying Initial Results of Your Analysis</w:t>
      </w:r>
    </w:p>
    <w:p w:rsidR="00410D29" w:rsidRDefault="00433270" w:rsidP="00410D29">
      <w:pPr>
        <w:spacing w:after="0"/>
        <w:outlineLvl w:val="0"/>
        <w:rPr>
          <w:b/>
        </w:rPr>
      </w:pPr>
    </w:p>
    <w:p w:rsidR="00410D29" w:rsidRDefault="005B32A6" w:rsidP="00410D29">
      <w:pPr>
        <w:spacing w:after="0"/>
      </w:pPr>
      <w:r>
        <w:t>As a result of your analysis have you changed/amended your original proposal?</w:t>
      </w:r>
    </w:p>
    <w:p w:rsidR="00410D29" w:rsidRDefault="00433270" w:rsidP="00410D29">
      <w:pPr>
        <w:spacing w:after="0"/>
      </w:pPr>
    </w:p>
    <w:p w:rsidR="00410D29" w:rsidRDefault="005B32A6" w:rsidP="00410D29">
      <w:pPr>
        <w:spacing w:after="0"/>
      </w:pPr>
      <w:r>
        <w:t xml:space="preserve">Please identify how – </w:t>
      </w:r>
    </w:p>
    <w:p w:rsidR="00410D29" w:rsidRDefault="00433270" w:rsidP="00410D29">
      <w:pPr>
        <w:spacing w:after="0"/>
      </w:pPr>
    </w:p>
    <w:p w:rsidR="00410D29" w:rsidRDefault="005B32A6" w:rsidP="00410D29">
      <w:pPr>
        <w:spacing w:after="0"/>
      </w:pPr>
      <w:r>
        <w:t xml:space="preserve">For example: </w:t>
      </w:r>
    </w:p>
    <w:p w:rsidR="00410D29" w:rsidRDefault="00433270" w:rsidP="00410D29">
      <w:pPr>
        <w:spacing w:after="0"/>
      </w:pPr>
    </w:p>
    <w:p w:rsidR="00410D29" w:rsidRDefault="005B32A6" w:rsidP="00410D29">
      <w:pPr>
        <w:spacing w:after="0"/>
      </w:pPr>
      <w:r>
        <w:t>Adjusted the original proposal – briefly outline the adjustments</w:t>
      </w:r>
    </w:p>
    <w:p w:rsidR="00410D29" w:rsidRDefault="005B32A6" w:rsidP="00410D29">
      <w:pPr>
        <w:spacing w:after="0"/>
      </w:pPr>
      <w:r>
        <w:t>Continuing with the Original Proposal – briefly explain why</w:t>
      </w:r>
    </w:p>
    <w:p w:rsidR="00410D29" w:rsidRDefault="005B32A6" w:rsidP="00410D29">
      <w:pPr>
        <w:spacing w:after="0"/>
      </w:pPr>
      <w:r>
        <w:t>Stopped the Proposal and Revised it - briefly explain</w:t>
      </w:r>
    </w:p>
    <w:p w:rsidR="00410D29" w:rsidRDefault="00433270" w:rsidP="00410D29">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00B5F" w:rsidTr="008F65C0">
        <w:tc>
          <w:tcPr>
            <w:tcW w:w="9242" w:type="dxa"/>
          </w:tcPr>
          <w:p w:rsidR="00410D29" w:rsidRDefault="005B32A6" w:rsidP="008F65C0">
            <w:pPr>
              <w:spacing w:after="0"/>
            </w:pPr>
            <w:r>
              <w:t>Continuing with the original p</w:t>
            </w:r>
            <w:r w:rsidRPr="000B093E">
              <w:t xml:space="preserve">roposal </w:t>
            </w:r>
            <w:r>
              <w:t xml:space="preserve">- </w:t>
            </w:r>
            <w:r w:rsidRPr="000A176F">
              <w:t>The County Council is experiencing an ongoing period of unprecedented financial pressure as a result of the Government's extended programme of austerity combined with significant increases in demand for public services. This proposal has emerged as part of the need for the County Council to reduce its spending due to an estimated funding gap of £161.218 million by 2021/22.</w:t>
            </w:r>
          </w:p>
        </w:tc>
      </w:tr>
    </w:tbl>
    <w:p w:rsidR="00410D29" w:rsidRDefault="00433270" w:rsidP="00410D29">
      <w:pPr>
        <w:spacing w:after="0"/>
      </w:pPr>
    </w:p>
    <w:p w:rsidR="00410D29" w:rsidRDefault="005B32A6" w:rsidP="00410D29">
      <w:pPr>
        <w:spacing w:after="0"/>
        <w:outlineLvl w:val="0"/>
        <w:rPr>
          <w:b/>
        </w:rPr>
      </w:pPr>
      <w:r w:rsidRPr="00C14AAF">
        <w:rPr>
          <w:b/>
        </w:rPr>
        <w:t xml:space="preserve">Question </w:t>
      </w:r>
      <w:r>
        <w:rPr>
          <w:b/>
        </w:rPr>
        <w:t>6 – Mitigation</w:t>
      </w:r>
    </w:p>
    <w:p w:rsidR="00410D29" w:rsidRPr="00C14AAF" w:rsidRDefault="00433270" w:rsidP="00410D29">
      <w:pPr>
        <w:spacing w:after="0"/>
        <w:outlineLvl w:val="0"/>
        <w:rPr>
          <w:b/>
        </w:rPr>
      </w:pPr>
    </w:p>
    <w:p w:rsidR="00410D29" w:rsidRDefault="005B32A6" w:rsidP="00410D29">
      <w:pPr>
        <w:spacing w:after="0"/>
      </w:pPr>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410D29" w:rsidRDefault="00433270" w:rsidP="00410D29">
      <w:pPr>
        <w:spacing w:after="0"/>
      </w:pPr>
    </w:p>
    <w:p w:rsidR="00410D29" w:rsidRDefault="005B32A6" w:rsidP="00410D29">
      <w:pPr>
        <w:spacing w:after="0"/>
      </w:pPr>
      <w:r>
        <w:t>Also consider if any mitigation might adversely affect any other groups and how this might be managed.</w:t>
      </w:r>
    </w:p>
    <w:p w:rsidR="00410D29" w:rsidRDefault="00433270" w:rsidP="00410D29">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00B5F" w:rsidTr="008F65C0">
        <w:tc>
          <w:tcPr>
            <w:tcW w:w="9242" w:type="dxa"/>
          </w:tcPr>
          <w:p w:rsidR="00410D29" w:rsidRDefault="005B32A6" w:rsidP="008F65C0">
            <w:pPr>
              <w:autoSpaceDE/>
              <w:autoSpaceDN/>
              <w:adjustRightInd/>
              <w:spacing w:after="0" w:line="276" w:lineRule="auto"/>
              <w:jc w:val="left"/>
            </w:pPr>
            <w:r>
              <w:t xml:space="preserve">There might be some mitigation for example by excluding this group from some other proposals relating to pay and conditions which might have a detrimental impact. </w:t>
            </w:r>
          </w:p>
          <w:p w:rsidR="00410D29" w:rsidRDefault="00433270" w:rsidP="008F65C0">
            <w:pPr>
              <w:pStyle w:val="ListParagraph"/>
              <w:autoSpaceDE/>
              <w:autoSpaceDN/>
              <w:adjustRightInd/>
              <w:spacing w:after="0" w:line="276" w:lineRule="auto"/>
              <w:jc w:val="left"/>
            </w:pPr>
          </w:p>
          <w:p w:rsidR="00410D29" w:rsidRPr="003C2620" w:rsidRDefault="00433270" w:rsidP="008F65C0">
            <w:pPr>
              <w:pStyle w:val="ListParagraph"/>
              <w:autoSpaceDE/>
              <w:autoSpaceDN/>
              <w:adjustRightInd/>
              <w:spacing w:after="0" w:line="276" w:lineRule="auto"/>
              <w:jc w:val="left"/>
            </w:pPr>
          </w:p>
        </w:tc>
      </w:tr>
    </w:tbl>
    <w:p w:rsidR="00410D29" w:rsidRDefault="00433270" w:rsidP="00410D29">
      <w:pPr>
        <w:spacing w:after="0"/>
        <w:rPr>
          <w:b/>
        </w:rPr>
      </w:pPr>
    </w:p>
    <w:p w:rsidR="00410D29" w:rsidRDefault="005B32A6" w:rsidP="00410D29">
      <w:pPr>
        <w:spacing w:after="0"/>
        <w:outlineLvl w:val="0"/>
        <w:rPr>
          <w:b/>
        </w:rPr>
      </w:pPr>
      <w:r>
        <w:rPr>
          <w:b/>
        </w:rPr>
        <w:t>Question 7 – Balancing the Proposal/Countervailing Factors</w:t>
      </w:r>
    </w:p>
    <w:p w:rsidR="00410D29" w:rsidRDefault="005B32A6" w:rsidP="00410D29">
      <w:pPr>
        <w:spacing w:after="0"/>
      </w:pPr>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p w:rsidR="00410D29" w:rsidRDefault="00433270" w:rsidP="00410D29">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00B5F" w:rsidTr="008F65C0">
        <w:tc>
          <w:tcPr>
            <w:tcW w:w="9242" w:type="dxa"/>
          </w:tcPr>
          <w:p w:rsidR="00410D29" w:rsidRDefault="005B32A6" w:rsidP="008F65C0">
            <w:pPr>
              <w:spacing w:after="0"/>
              <w:outlineLvl w:val="0"/>
            </w:pPr>
            <w:r w:rsidRPr="000A176F">
              <w:t xml:space="preserve">It is acknowledged that the proposal will adversely impact on employees currently paid at the Foundation Living Wage and that many of these employees are in part time posts and a disproportionate number are female. </w:t>
            </w:r>
          </w:p>
          <w:p w:rsidR="00410D29" w:rsidRDefault="00433270" w:rsidP="008F65C0">
            <w:pPr>
              <w:spacing w:after="0"/>
              <w:outlineLvl w:val="0"/>
            </w:pPr>
          </w:p>
          <w:p w:rsidR="00410D29" w:rsidRDefault="005B32A6" w:rsidP="008F65C0">
            <w:pPr>
              <w:spacing w:after="0"/>
              <w:outlineLvl w:val="0"/>
            </w:pPr>
            <w:r>
              <w:t>The Living Wage is an informal benchmark, not a legally enforceable minimum level of pay, like the national minimum wage. The basic idea is that the Living Wage is a minimum pay rate needed to let workers lead a decent life. The Foundation Living Wage rate exceeds the Government's National Living Wage and forms part of the Lancashire Pay Spine. The national minimum wage is set by the Chancellor of the Exchequer each year on the advice of the Low Pay Commission. It is enforced by Her Majesty's Revenue and Customs (HMRC).</w:t>
            </w:r>
          </w:p>
          <w:p w:rsidR="00410D29" w:rsidRDefault="00433270" w:rsidP="008F65C0">
            <w:pPr>
              <w:spacing w:after="0"/>
              <w:outlineLvl w:val="0"/>
            </w:pPr>
          </w:p>
          <w:p w:rsidR="00410D29" w:rsidRDefault="005B32A6" w:rsidP="008F65C0">
            <w:pPr>
              <w:spacing w:after="0"/>
              <w:outlineLvl w:val="0"/>
            </w:pPr>
            <w:r>
              <w:t>The County Council is experiencing an ongoing period of unprecedented financial pressure as a result of the Government's extended programme of austerity combined with significant increases in demand for public services. This proposal has emerged as part of the need for the County Council to reduce its spending due to an estimated funding gap of £161.218 million by 2021/22.</w:t>
            </w:r>
          </w:p>
          <w:p w:rsidR="00410D29" w:rsidRDefault="00433270" w:rsidP="008F65C0">
            <w:pPr>
              <w:spacing w:after="0"/>
              <w:outlineLvl w:val="0"/>
            </w:pPr>
          </w:p>
          <w:p w:rsidR="00410D29" w:rsidRPr="003C2620" w:rsidRDefault="005B32A6" w:rsidP="008F65C0">
            <w:pPr>
              <w:spacing w:after="0"/>
              <w:outlineLvl w:val="0"/>
            </w:pPr>
            <w:r>
              <w:t>Living Wage is not the result of the national pay negotiations for local government staff and have to date been at a rate in excess of that reflected in the national agreements which are reflected in the County Council's financial planning framework.</w:t>
            </w:r>
          </w:p>
        </w:tc>
      </w:tr>
    </w:tbl>
    <w:p w:rsidR="00410D29" w:rsidRDefault="00433270" w:rsidP="00410D29">
      <w:pPr>
        <w:spacing w:after="0"/>
        <w:outlineLvl w:val="0"/>
        <w:rPr>
          <w:b/>
        </w:rPr>
      </w:pPr>
    </w:p>
    <w:p w:rsidR="00410D29" w:rsidRPr="00A46E3B" w:rsidRDefault="005B32A6" w:rsidP="00410D29">
      <w:pPr>
        <w:spacing w:after="0"/>
        <w:outlineLvl w:val="0"/>
        <w:rPr>
          <w:b/>
        </w:rPr>
      </w:pPr>
      <w:r w:rsidRPr="00AB2588">
        <w:rPr>
          <w:b/>
        </w:rPr>
        <w:t xml:space="preserve">Question </w:t>
      </w:r>
      <w:r>
        <w:rPr>
          <w:b/>
        </w:rPr>
        <w:t>8</w:t>
      </w:r>
      <w:r w:rsidRPr="00AB2588">
        <w:rPr>
          <w:b/>
        </w:rPr>
        <w:t xml:space="preserve"> – Final Proposal</w:t>
      </w:r>
    </w:p>
    <w:p w:rsidR="00410D29" w:rsidRPr="00A46E3B" w:rsidRDefault="005B32A6" w:rsidP="00410D29">
      <w:pPr>
        <w:spacing w:after="0"/>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00B5F" w:rsidTr="008F65C0">
        <w:tc>
          <w:tcPr>
            <w:tcW w:w="9242" w:type="dxa"/>
          </w:tcPr>
          <w:p w:rsidR="00410D29" w:rsidRDefault="005B32A6" w:rsidP="008F65C0">
            <w:pPr>
              <w:spacing w:after="0"/>
            </w:pPr>
            <w:r w:rsidRPr="00322594">
              <w:t>Freeze pay grades for Foundation Living Wage (FLW) until National Living Wage (NLW) reaches the same level then pay the National Living Wage (NLW).</w:t>
            </w:r>
          </w:p>
          <w:p w:rsidR="00410D29" w:rsidRDefault="00433270" w:rsidP="008F65C0">
            <w:pPr>
              <w:spacing w:after="0"/>
            </w:pPr>
          </w:p>
          <w:p w:rsidR="00410D29" w:rsidRDefault="005B32A6" w:rsidP="008F65C0">
            <w:pPr>
              <w:spacing w:after="0"/>
            </w:pPr>
            <w:r w:rsidRPr="00322594">
              <w:t>The decision will affect employees of Lancashire County Council who are in posts currently paid at the Foundation Living Wage</w:t>
            </w:r>
          </w:p>
        </w:tc>
      </w:tr>
    </w:tbl>
    <w:p w:rsidR="00410D29" w:rsidRDefault="00433270" w:rsidP="00410D29">
      <w:pPr>
        <w:spacing w:after="0"/>
      </w:pPr>
    </w:p>
    <w:p w:rsidR="00410D29" w:rsidRDefault="005B32A6" w:rsidP="00410D29">
      <w:pPr>
        <w:spacing w:after="0"/>
        <w:outlineLvl w:val="0"/>
        <w:rPr>
          <w:b/>
        </w:rPr>
      </w:pPr>
      <w:r w:rsidRPr="00AB2588">
        <w:rPr>
          <w:b/>
        </w:rPr>
        <w:t xml:space="preserve">Question </w:t>
      </w:r>
      <w:r>
        <w:rPr>
          <w:b/>
        </w:rPr>
        <w:t>9</w:t>
      </w:r>
      <w:r w:rsidRPr="00AB2588">
        <w:rPr>
          <w:b/>
        </w:rPr>
        <w:t xml:space="preserve"> – Review and Monitoring Arrangements</w:t>
      </w:r>
    </w:p>
    <w:p w:rsidR="00410D29" w:rsidRDefault="005B32A6" w:rsidP="00410D29">
      <w:pPr>
        <w:spacing w:after="0"/>
      </w:pPr>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00B5F" w:rsidTr="008F65C0">
        <w:tc>
          <w:tcPr>
            <w:tcW w:w="9242" w:type="dxa"/>
          </w:tcPr>
          <w:p w:rsidR="00410D29" w:rsidRDefault="005B32A6" w:rsidP="008F65C0">
            <w:pPr>
              <w:spacing w:after="0"/>
            </w:pPr>
            <w:r>
              <w:t>T</w:t>
            </w:r>
            <w:r w:rsidRPr="00C17813">
              <w:t>here is an annual Equality Information report produced to meet the Public Sector Equality Duty's requirements which, from March 2018, will include information on the Gender Pay Gap.  Th</w:t>
            </w:r>
            <w:r>
              <w:t>is</w:t>
            </w:r>
            <w:r w:rsidRPr="00C17813">
              <w:t xml:space="preserve"> may form one monitoring option although consideration may need to be given to whether more detailed information is needed to assess the affected posts against the benchmark data included in this analysis.</w:t>
            </w:r>
          </w:p>
          <w:p w:rsidR="00410D29" w:rsidRPr="001B5360" w:rsidRDefault="00433270" w:rsidP="008F65C0">
            <w:pPr>
              <w:spacing w:after="0"/>
            </w:pPr>
          </w:p>
        </w:tc>
      </w:tr>
    </w:tbl>
    <w:p w:rsidR="00410D29" w:rsidRDefault="00433270" w:rsidP="00410D29">
      <w:pPr>
        <w:spacing w:after="0"/>
        <w:rPr>
          <w:b/>
        </w:rPr>
      </w:pPr>
    </w:p>
    <w:p w:rsidR="00410D29" w:rsidRPr="00AB2588" w:rsidRDefault="00433270" w:rsidP="00410D29">
      <w:pPr>
        <w:spacing w:after="0"/>
        <w:rPr>
          <w:b/>
        </w:rPr>
      </w:pPr>
    </w:p>
    <w:p w:rsidR="00410D29" w:rsidRDefault="005B32A6" w:rsidP="00410D29">
      <w:pPr>
        <w:spacing w:after="0"/>
        <w:outlineLvl w:val="0"/>
      </w:pPr>
      <w:r>
        <w:t xml:space="preserve">Equality Analysis Prepared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410D29" w:rsidRDefault="005B32A6" w:rsidP="00410D29">
      <w:pPr>
        <w:spacing w:after="0"/>
        <w:outlineLvl w:val="0"/>
      </w:pPr>
      <w:r>
        <w:t xml:space="preserve">Position/Role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410D29" w:rsidRDefault="005B32A6" w:rsidP="00410D29">
      <w:pPr>
        <w:spacing w:after="0"/>
        <w:outlineLvl w:val="0"/>
      </w:pPr>
      <w:r>
        <w:t>Equality Analysis Endorsed by Line Manager and/or Service Head</w:t>
      </w:r>
    </w:p>
    <w:p w:rsidR="00410D29" w:rsidRDefault="005B32A6" w:rsidP="00410D29">
      <w:pPr>
        <w:spacing w:after="0"/>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410D29" w:rsidRDefault="005B32A6" w:rsidP="00410D29">
      <w:pPr>
        <w:spacing w:after="0"/>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410D29" w:rsidRDefault="00433270" w:rsidP="00410D29">
      <w:pPr>
        <w:spacing w:after="0"/>
      </w:pPr>
    </w:p>
    <w:p w:rsidR="00410D29" w:rsidRDefault="005B32A6" w:rsidP="00410D29">
      <w:pPr>
        <w:spacing w:after="0"/>
        <w:rPr>
          <w:b/>
        </w:rPr>
      </w:pPr>
      <w:r>
        <w:rPr>
          <w:b/>
        </w:rPr>
        <w:t>Please remember to ensure the Equality Decision Making Analysis is submitted with the decision-making report and a copy is retained with other papers relating to the decision.</w:t>
      </w:r>
    </w:p>
    <w:p w:rsidR="00410D29" w:rsidRDefault="00433270" w:rsidP="00410D29">
      <w:pPr>
        <w:spacing w:after="0"/>
        <w:rPr>
          <w:b/>
        </w:rPr>
      </w:pPr>
    </w:p>
    <w:p w:rsidR="00410D29" w:rsidRDefault="005B32A6" w:rsidP="00410D29">
      <w:pPr>
        <w:spacing w:after="0"/>
      </w:pPr>
      <w:r>
        <w:t>For further information please contact</w:t>
      </w:r>
    </w:p>
    <w:p w:rsidR="00410D29" w:rsidRDefault="005B32A6" w:rsidP="00410D29">
      <w:pPr>
        <w:spacing w:after="0"/>
      </w:pPr>
      <w:r>
        <w:t>Jeanette Binns – Equality &amp; Cohesion Manager</w:t>
      </w:r>
    </w:p>
    <w:p w:rsidR="00410D29" w:rsidRDefault="00433270" w:rsidP="00410D29">
      <w:pPr>
        <w:spacing w:after="0"/>
        <w:outlineLvl w:val="0"/>
      </w:pPr>
      <w:hyperlink r:id="rId20" w:history="1">
        <w:r w:rsidR="005B32A6" w:rsidRPr="00C91E9C">
          <w:rPr>
            <w:rStyle w:val="Hyperlink"/>
          </w:rPr>
          <w:t>Jeanette.binns@lancashire.gov.uk</w:t>
        </w:r>
      </w:hyperlink>
    </w:p>
    <w:p w:rsidR="00410D29" w:rsidRPr="008021FB" w:rsidRDefault="005B32A6" w:rsidP="00410D29">
      <w:pPr>
        <w:spacing w:after="0"/>
      </w:pPr>
      <w:r>
        <w:t>Thank you</w:t>
      </w:r>
    </w:p>
    <w:p w:rsidR="00410D29" w:rsidRDefault="00433270" w:rsidP="00410D29">
      <w:pPr>
        <w:spacing w:after="0" w:line="259" w:lineRule="auto"/>
        <w:rPr>
          <w:rFonts w:eastAsiaTheme="minorHAnsi"/>
          <w:b/>
          <w:u w:val="single"/>
        </w:rPr>
      </w:pPr>
    </w:p>
    <w:p w:rsidR="00410D29" w:rsidRDefault="00433270" w:rsidP="00410D29">
      <w:pPr>
        <w:spacing w:after="0" w:line="259" w:lineRule="auto"/>
        <w:rPr>
          <w:rFonts w:eastAsiaTheme="minorHAnsi"/>
          <w:b/>
          <w:u w:val="single"/>
        </w:rPr>
      </w:pPr>
    </w:p>
    <w:p w:rsidR="00410D29" w:rsidRDefault="00433270" w:rsidP="00410D29">
      <w:pPr>
        <w:spacing w:after="0" w:line="259" w:lineRule="auto"/>
        <w:rPr>
          <w:rFonts w:eastAsiaTheme="minorHAnsi"/>
          <w:b/>
          <w:u w:val="single"/>
        </w:rPr>
      </w:pPr>
    </w:p>
    <w:p w:rsidR="00410D29" w:rsidRDefault="00433270" w:rsidP="00410D29">
      <w:pPr>
        <w:spacing w:after="0" w:line="259" w:lineRule="auto"/>
        <w:rPr>
          <w:rFonts w:eastAsiaTheme="minorHAnsi"/>
          <w:b/>
          <w:u w:val="single"/>
        </w:rPr>
      </w:pPr>
    </w:p>
    <w:p w:rsidR="00410D29" w:rsidRDefault="00433270" w:rsidP="00410D29">
      <w:pPr>
        <w:spacing w:after="0" w:line="259" w:lineRule="auto"/>
        <w:rPr>
          <w:rFonts w:eastAsiaTheme="minorHAnsi"/>
          <w:b/>
          <w:u w:val="single"/>
        </w:rPr>
      </w:pPr>
    </w:p>
    <w:p w:rsidR="00410D29" w:rsidRDefault="00433270" w:rsidP="00410D29">
      <w:pPr>
        <w:spacing w:after="0" w:line="259" w:lineRule="auto"/>
        <w:rPr>
          <w:rFonts w:eastAsiaTheme="minorHAnsi"/>
          <w:b/>
          <w:u w:val="single"/>
        </w:rPr>
      </w:pPr>
    </w:p>
    <w:p w:rsidR="00410D29" w:rsidRDefault="00433270" w:rsidP="00410D29">
      <w:pPr>
        <w:spacing w:after="0" w:line="259" w:lineRule="auto"/>
        <w:rPr>
          <w:rFonts w:eastAsiaTheme="minorHAnsi"/>
          <w:b/>
          <w:u w:val="single"/>
        </w:rPr>
      </w:pPr>
    </w:p>
    <w:p w:rsidR="00410D29" w:rsidRDefault="00433270" w:rsidP="00410D29">
      <w:pPr>
        <w:spacing w:after="0" w:line="259" w:lineRule="auto"/>
        <w:rPr>
          <w:rFonts w:eastAsiaTheme="minorHAnsi"/>
          <w:b/>
          <w:u w:val="single"/>
        </w:rPr>
      </w:pPr>
    </w:p>
    <w:p w:rsidR="00410D29" w:rsidRDefault="00433270" w:rsidP="00410D29">
      <w:pPr>
        <w:spacing w:after="0" w:line="259" w:lineRule="auto"/>
        <w:rPr>
          <w:rFonts w:eastAsiaTheme="minorHAnsi"/>
          <w:b/>
          <w:u w:val="single"/>
        </w:rPr>
      </w:pPr>
    </w:p>
    <w:p w:rsidR="00410D29" w:rsidRDefault="00433270" w:rsidP="00410D29">
      <w:pPr>
        <w:spacing w:after="0" w:line="259" w:lineRule="auto"/>
        <w:rPr>
          <w:rFonts w:eastAsiaTheme="minorHAnsi"/>
          <w:b/>
          <w:u w:val="single"/>
        </w:rPr>
      </w:pPr>
    </w:p>
    <w:p w:rsidR="00410D29" w:rsidRDefault="00433270" w:rsidP="00410D29">
      <w:pPr>
        <w:spacing w:after="0" w:line="259" w:lineRule="auto"/>
        <w:rPr>
          <w:rFonts w:eastAsiaTheme="minorHAnsi"/>
          <w:b/>
          <w:u w:val="single"/>
        </w:rPr>
      </w:pPr>
    </w:p>
    <w:p w:rsidR="00410D29" w:rsidRDefault="00433270" w:rsidP="00410D29">
      <w:pPr>
        <w:spacing w:after="0" w:line="259" w:lineRule="auto"/>
        <w:rPr>
          <w:rFonts w:eastAsiaTheme="minorHAnsi"/>
          <w:b/>
          <w:u w:val="single"/>
        </w:rPr>
      </w:pPr>
    </w:p>
    <w:p w:rsidR="00410D29" w:rsidRDefault="00433270" w:rsidP="00410D29">
      <w:pPr>
        <w:spacing w:after="0" w:line="259" w:lineRule="auto"/>
        <w:rPr>
          <w:rFonts w:eastAsiaTheme="minorHAnsi"/>
          <w:b/>
          <w:u w:val="single"/>
        </w:rPr>
      </w:pPr>
    </w:p>
    <w:p w:rsidR="00410D29" w:rsidRDefault="00433270" w:rsidP="00410D29">
      <w:pPr>
        <w:spacing w:after="0" w:line="259" w:lineRule="auto"/>
        <w:rPr>
          <w:rFonts w:eastAsiaTheme="minorHAnsi"/>
          <w:b/>
          <w:u w:val="single"/>
        </w:rPr>
      </w:pPr>
    </w:p>
    <w:p w:rsidR="00410D29" w:rsidRDefault="00433270" w:rsidP="00410D29">
      <w:pPr>
        <w:spacing w:after="0" w:line="259" w:lineRule="auto"/>
        <w:rPr>
          <w:rFonts w:eastAsiaTheme="minorHAnsi"/>
          <w:b/>
          <w:u w:val="single"/>
        </w:rPr>
      </w:pPr>
    </w:p>
    <w:p w:rsidR="00410D29" w:rsidRDefault="00433270" w:rsidP="00410D29">
      <w:pPr>
        <w:spacing w:after="0" w:line="259" w:lineRule="auto"/>
        <w:rPr>
          <w:rFonts w:eastAsiaTheme="minorHAnsi"/>
          <w:b/>
          <w:u w:val="single"/>
        </w:rPr>
      </w:pPr>
    </w:p>
    <w:p w:rsidR="00410D29" w:rsidRDefault="00433270" w:rsidP="00410D29">
      <w:pPr>
        <w:spacing w:after="0" w:line="259" w:lineRule="auto"/>
        <w:rPr>
          <w:rFonts w:eastAsiaTheme="minorHAnsi"/>
          <w:b/>
          <w:u w:val="single"/>
        </w:rPr>
      </w:pPr>
    </w:p>
    <w:p w:rsidR="003A7AED" w:rsidRDefault="003A7AED" w:rsidP="00410D29">
      <w:pPr>
        <w:spacing w:after="0" w:line="259" w:lineRule="auto"/>
        <w:rPr>
          <w:rFonts w:eastAsiaTheme="minorHAnsi"/>
          <w:b/>
          <w:u w:val="single"/>
        </w:rPr>
      </w:pPr>
    </w:p>
    <w:p w:rsidR="003A7AED" w:rsidRDefault="003A7AED" w:rsidP="00410D29">
      <w:pPr>
        <w:spacing w:after="0" w:line="259" w:lineRule="auto"/>
        <w:rPr>
          <w:rFonts w:eastAsiaTheme="minorHAnsi"/>
          <w:b/>
          <w:u w:val="single"/>
        </w:rPr>
      </w:pPr>
    </w:p>
    <w:p w:rsidR="007A48C8" w:rsidRDefault="00433270" w:rsidP="007D73B9">
      <w:pPr>
        <w:spacing w:after="0" w:line="259" w:lineRule="auto"/>
        <w:rPr>
          <w:rFonts w:cs="Arial"/>
          <w:b/>
        </w:rPr>
      </w:pPr>
    </w:p>
    <w:p w:rsidR="00410D29" w:rsidRDefault="00433270" w:rsidP="007D73B9">
      <w:pPr>
        <w:spacing w:after="0" w:line="259" w:lineRule="auto"/>
        <w:rPr>
          <w:rFonts w:cs="Arial"/>
          <w:b/>
        </w:rPr>
      </w:pPr>
    </w:p>
    <w:p w:rsidR="007A48C8" w:rsidRPr="00C15723" w:rsidRDefault="005B32A6" w:rsidP="007A48C8">
      <w:pPr>
        <w:rPr>
          <w:rFonts w:eastAsiaTheme="minorHAnsi"/>
          <w:b/>
          <w:u w:val="single"/>
        </w:rPr>
      </w:pPr>
      <w:r>
        <w:rPr>
          <w:rFonts w:eastAsiaTheme="minorHAnsi"/>
          <w:b/>
          <w:u w:val="single"/>
        </w:rPr>
        <w:t>CORP003 – TERMS AND CONDITIONS</w:t>
      </w:r>
    </w:p>
    <w:p w:rsidR="007A48C8" w:rsidRPr="006F2802" w:rsidRDefault="00433270" w:rsidP="007A48C8">
      <w:pPr>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151"/>
        <w:gridCol w:w="425"/>
        <w:gridCol w:w="1678"/>
        <w:gridCol w:w="165"/>
        <w:gridCol w:w="146"/>
        <w:gridCol w:w="1943"/>
        <w:gridCol w:w="37"/>
        <w:gridCol w:w="2217"/>
      </w:tblGrid>
      <w:tr w:rsidR="00A00B5F" w:rsidTr="00CA4A8D">
        <w:tc>
          <w:tcPr>
            <w:tcW w:w="4819" w:type="dxa"/>
            <w:gridSpan w:val="6"/>
          </w:tcPr>
          <w:p w:rsidR="007A48C8" w:rsidRDefault="005B32A6" w:rsidP="007A48C8">
            <w:pPr>
              <w:jc w:val="left"/>
              <w:rPr>
                <w:b/>
              </w:rPr>
            </w:pPr>
            <w:r>
              <w:rPr>
                <w:b/>
              </w:rPr>
              <w:t>Service Name:</w:t>
            </w:r>
            <w:r w:rsidRPr="006F2802">
              <w:rPr>
                <w:b/>
              </w:rPr>
              <w:br/>
            </w:r>
          </w:p>
          <w:p w:rsidR="007A48C8" w:rsidRPr="006F2802" w:rsidRDefault="00433270" w:rsidP="007A48C8">
            <w:pPr>
              <w:jc w:val="left"/>
              <w:rPr>
                <w:b/>
              </w:rPr>
            </w:pPr>
          </w:p>
        </w:tc>
        <w:tc>
          <w:tcPr>
            <w:tcW w:w="4197" w:type="dxa"/>
            <w:gridSpan w:val="3"/>
          </w:tcPr>
          <w:p w:rsidR="007A48C8" w:rsidRPr="00835DB6" w:rsidRDefault="005B32A6" w:rsidP="00CA4A8D">
            <w:pPr>
              <w:jc w:val="center"/>
            </w:pPr>
            <w:r>
              <w:t xml:space="preserve">LCC Wide – Staffing Budgets </w:t>
            </w:r>
          </w:p>
        </w:tc>
      </w:tr>
      <w:tr w:rsidR="00A00B5F" w:rsidTr="00CA4A8D">
        <w:trPr>
          <w:trHeight w:val="911"/>
        </w:trPr>
        <w:tc>
          <w:tcPr>
            <w:tcW w:w="4819" w:type="dxa"/>
            <w:gridSpan w:val="6"/>
          </w:tcPr>
          <w:p w:rsidR="007A48C8" w:rsidRPr="000678CE" w:rsidRDefault="005B32A6" w:rsidP="007A48C8">
            <w:pPr>
              <w:jc w:val="left"/>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rsidR="007A48C8" w:rsidRPr="006F2802" w:rsidRDefault="005B32A6" w:rsidP="00CA4A8D">
            <w:pPr>
              <w:jc w:val="center"/>
            </w:pPr>
            <w:r>
              <w:t>2018/19</w:t>
            </w:r>
          </w:p>
        </w:tc>
      </w:tr>
      <w:tr w:rsidR="00A00B5F" w:rsidTr="00CA4A8D">
        <w:tc>
          <w:tcPr>
            <w:tcW w:w="4819" w:type="dxa"/>
            <w:gridSpan w:val="6"/>
          </w:tcPr>
          <w:p w:rsidR="007A48C8" w:rsidRPr="00543FFD" w:rsidRDefault="005B32A6" w:rsidP="007A48C8">
            <w:pPr>
              <w:jc w:val="left"/>
              <w:rPr>
                <w:b/>
              </w:rPr>
            </w:pPr>
            <w:r w:rsidRPr="00543FFD">
              <w:rPr>
                <w:b/>
              </w:rPr>
              <w:t>Gross budget 201</w:t>
            </w:r>
            <w:r>
              <w:rPr>
                <w:b/>
              </w:rPr>
              <w:t>7</w:t>
            </w:r>
            <w:r w:rsidRPr="00543FFD">
              <w:rPr>
                <w:b/>
              </w:rPr>
              <w:t>/1</w:t>
            </w:r>
            <w:r>
              <w:rPr>
                <w:b/>
              </w:rPr>
              <w:t>8</w:t>
            </w:r>
          </w:p>
        </w:tc>
        <w:tc>
          <w:tcPr>
            <w:tcW w:w="4197" w:type="dxa"/>
            <w:gridSpan w:val="3"/>
          </w:tcPr>
          <w:p w:rsidR="007A48C8" w:rsidRPr="006F2802" w:rsidRDefault="005B32A6" w:rsidP="00CA4A8D">
            <w:pPr>
              <w:jc w:val="center"/>
            </w:pPr>
            <w:r>
              <w:t>£319.042m</w:t>
            </w:r>
          </w:p>
        </w:tc>
      </w:tr>
      <w:tr w:rsidR="00A00B5F" w:rsidTr="00CA4A8D">
        <w:tc>
          <w:tcPr>
            <w:tcW w:w="4819" w:type="dxa"/>
            <w:gridSpan w:val="6"/>
          </w:tcPr>
          <w:p w:rsidR="007A48C8" w:rsidRPr="00543FFD" w:rsidRDefault="005B32A6" w:rsidP="007A48C8">
            <w:pPr>
              <w:jc w:val="left"/>
              <w:rPr>
                <w:b/>
              </w:rPr>
            </w:pPr>
            <w:r w:rsidRPr="00543FFD">
              <w:rPr>
                <w:b/>
              </w:rPr>
              <w:t>Income 201</w:t>
            </w:r>
            <w:r>
              <w:rPr>
                <w:b/>
              </w:rPr>
              <w:t>7</w:t>
            </w:r>
            <w:r w:rsidRPr="00543FFD">
              <w:rPr>
                <w:b/>
              </w:rPr>
              <w:t>/1</w:t>
            </w:r>
            <w:r>
              <w:rPr>
                <w:b/>
              </w:rPr>
              <w:t>8</w:t>
            </w:r>
          </w:p>
        </w:tc>
        <w:tc>
          <w:tcPr>
            <w:tcW w:w="4197" w:type="dxa"/>
            <w:gridSpan w:val="3"/>
          </w:tcPr>
          <w:p w:rsidR="007A48C8" w:rsidRPr="006F2802" w:rsidRDefault="005B32A6" w:rsidP="00CA4A8D">
            <w:pPr>
              <w:jc w:val="center"/>
            </w:pPr>
            <w:r>
              <w:t>N/A</w:t>
            </w:r>
          </w:p>
        </w:tc>
      </w:tr>
      <w:tr w:rsidR="00A00B5F" w:rsidTr="00CA4A8D">
        <w:tc>
          <w:tcPr>
            <w:tcW w:w="4819" w:type="dxa"/>
            <w:gridSpan w:val="6"/>
          </w:tcPr>
          <w:p w:rsidR="007A48C8" w:rsidRPr="00543FFD" w:rsidRDefault="005B32A6" w:rsidP="007A48C8">
            <w:pPr>
              <w:jc w:val="left"/>
              <w:rPr>
                <w:b/>
              </w:rPr>
            </w:pPr>
            <w:r w:rsidRPr="00543FFD">
              <w:rPr>
                <w:b/>
              </w:rPr>
              <w:t>Net budget 201</w:t>
            </w:r>
            <w:r>
              <w:rPr>
                <w:b/>
              </w:rPr>
              <w:t>7</w:t>
            </w:r>
            <w:r w:rsidRPr="00543FFD">
              <w:rPr>
                <w:b/>
              </w:rPr>
              <w:t>/1</w:t>
            </w:r>
            <w:r>
              <w:rPr>
                <w:b/>
              </w:rPr>
              <w:t>8</w:t>
            </w:r>
          </w:p>
        </w:tc>
        <w:tc>
          <w:tcPr>
            <w:tcW w:w="4197" w:type="dxa"/>
            <w:gridSpan w:val="3"/>
          </w:tcPr>
          <w:p w:rsidR="007A48C8" w:rsidRPr="006F2802" w:rsidRDefault="005B32A6" w:rsidP="00CA4A8D">
            <w:pPr>
              <w:jc w:val="center"/>
            </w:pPr>
            <w:r>
              <w:t>£319.042m</w:t>
            </w:r>
          </w:p>
        </w:tc>
      </w:tr>
      <w:tr w:rsidR="00A00B5F" w:rsidTr="00CA4A8D">
        <w:trPr>
          <w:trHeight w:val="428"/>
        </w:trPr>
        <w:tc>
          <w:tcPr>
            <w:tcW w:w="9016" w:type="dxa"/>
            <w:gridSpan w:val="9"/>
          </w:tcPr>
          <w:p w:rsidR="007A48C8" w:rsidRPr="006F2802" w:rsidRDefault="00433270" w:rsidP="00CA4A8D">
            <w:pPr>
              <w:jc w:val="center"/>
              <w:rPr>
                <w:b/>
                <w:i/>
              </w:rPr>
            </w:pPr>
          </w:p>
        </w:tc>
      </w:tr>
      <w:tr w:rsidR="00A00B5F" w:rsidTr="00CA4A8D">
        <w:tc>
          <w:tcPr>
            <w:tcW w:w="9016" w:type="dxa"/>
            <w:gridSpan w:val="9"/>
          </w:tcPr>
          <w:p w:rsidR="007A48C8" w:rsidRPr="0045626A" w:rsidRDefault="005B32A6" w:rsidP="00CA4A8D">
            <w:pPr>
              <w:rPr>
                <w:b/>
              </w:rPr>
            </w:pPr>
            <w:r>
              <w:rPr>
                <w:b/>
              </w:rPr>
              <w:t xml:space="preserve">Savings Target and Profiling (discrete year): </w:t>
            </w:r>
          </w:p>
        </w:tc>
      </w:tr>
      <w:tr w:rsidR="00A00B5F" w:rsidTr="00CA4A8D">
        <w:tc>
          <w:tcPr>
            <w:tcW w:w="9016" w:type="dxa"/>
            <w:gridSpan w:val="9"/>
          </w:tcPr>
          <w:p w:rsidR="007A48C8" w:rsidRDefault="00433270" w:rsidP="00CA4A8D">
            <w:pPr>
              <w:rPr>
                <w:b/>
              </w:rPr>
            </w:pPr>
          </w:p>
        </w:tc>
      </w:tr>
      <w:tr w:rsidR="00A00B5F" w:rsidTr="00CA4A8D">
        <w:trPr>
          <w:trHeight w:val="90"/>
        </w:trPr>
        <w:tc>
          <w:tcPr>
            <w:tcW w:w="2405" w:type="dxa"/>
            <w:gridSpan w:val="2"/>
          </w:tcPr>
          <w:p w:rsidR="007A48C8" w:rsidRPr="00543FFD" w:rsidRDefault="005B32A6" w:rsidP="00CA4A8D">
            <w:pPr>
              <w:tabs>
                <w:tab w:val="left" w:pos="1395"/>
              </w:tabs>
              <w:jc w:val="center"/>
              <w:rPr>
                <w:b/>
              </w:rPr>
            </w:pPr>
            <w:r w:rsidRPr="00543FFD">
              <w:rPr>
                <w:b/>
              </w:rPr>
              <w:t>2018/19</w:t>
            </w:r>
          </w:p>
        </w:tc>
        <w:tc>
          <w:tcPr>
            <w:tcW w:w="2268" w:type="dxa"/>
            <w:gridSpan w:val="3"/>
          </w:tcPr>
          <w:p w:rsidR="007A48C8" w:rsidRPr="00543FFD" w:rsidRDefault="005B32A6" w:rsidP="00CA4A8D">
            <w:pPr>
              <w:tabs>
                <w:tab w:val="left" w:pos="1395"/>
              </w:tabs>
              <w:jc w:val="center"/>
              <w:rPr>
                <w:b/>
              </w:rPr>
            </w:pPr>
            <w:r w:rsidRPr="00543FFD">
              <w:rPr>
                <w:b/>
              </w:rPr>
              <w:t>2019/20</w:t>
            </w:r>
          </w:p>
        </w:tc>
        <w:tc>
          <w:tcPr>
            <w:tcW w:w="2126" w:type="dxa"/>
            <w:gridSpan w:val="3"/>
          </w:tcPr>
          <w:p w:rsidR="007A48C8" w:rsidRPr="00543FFD" w:rsidRDefault="005B32A6" w:rsidP="00CA4A8D">
            <w:pPr>
              <w:tabs>
                <w:tab w:val="left" w:pos="1395"/>
              </w:tabs>
              <w:jc w:val="center"/>
              <w:rPr>
                <w:b/>
              </w:rPr>
            </w:pPr>
            <w:r w:rsidRPr="00543FFD">
              <w:rPr>
                <w:b/>
              </w:rPr>
              <w:t>2020/21</w:t>
            </w:r>
          </w:p>
        </w:tc>
        <w:tc>
          <w:tcPr>
            <w:tcW w:w="2217" w:type="dxa"/>
          </w:tcPr>
          <w:p w:rsidR="007A48C8" w:rsidRPr="00543FFD" w:rsidRDefault="005B32A6" w:rsidP="00CA4A8D">
            <w:pPr>
              <w:tabs>
                <w:tab w:val="left" w:pos="1395"/>
              </w:tabs>
              <w:jc w:val="center"/>
              <w:rPr>
                <w:b/>
              </w:rPr>
            </w:pPr>
            <w:r>
              <w:rPr>
                <w:b/>
              </w:rPr>
              <w:t xml:space="preserve">Total </w:t>
            </w:r>
          </w:p>
        </w:tc>
      </w:tr>
      <w:tr w:rsidR="00A00B5F" w:rsidTr="00CA4A8D">
        <w:trPr>
          <w:trHeight w:val="90"/>
        </w:trPr>
        <w:tc>
          <w:tcPr>
            <w:tcW w:w="2405" w:type="dxa"/>
            <w:gridSpan w:val="2"/>
          </w:tcPr>
          <w:p w:rsidR="007A48C8" w:rsidRDefault="005B32A6" w:rsidP="00CA4A8D">
            <w:pPr>
              <w:tabs>
                <w:tab w:val="left" w:pos="1395"/>
              </w:tabs>
              <w:jc w:val="center"/>
              <w:rPr>
                <w:b/>
              </w:rPr>
            </w:pPr>
            <w:r>
              <w:rPr>
                <w:b/>
              </w:rPr>
              <w:t>£m</w:t>
            </w:r>
          </w:p>
        </w:tc>
        <w:tc>
          <w:tcPr>
            <w:tcW w:w="2268" w:type="dxa"/>
            <w:gridSpan w:val="3"/>
          </w:tcPr>
          <w:p w:rsidR="007A48C8" w:rsidRDefault="005B32A6" w:rsidP="00CA4A8D">
            <w:pPr>
              <w:tabs>
                <w:tab w:val="left" w:pos="1395"/>
              </w:tabs>
              <w:jc w:val="center"/>
              <w:rPr>
                <w:b/>
              </w:rPr>
            </w:pPr>
            <w:r>
              <w:rPr>
                <w:b/>
              </w:rPr>
              <w:t>£m</w:t>
            </w:r>
          </w:p>
        </w:tc>
        <w:tc>
          <w:tcPr>
            <w:tcW w:w="2126" w:type="dxa"/>
            <w:gridSpan w:val="3"/>
          </w:tcPr>
          <w:p w:rsidR="007A48C8" w:rsidRDefault="005B32A6" w:rsidP="00CA4A8D">
            <w:pPr>
              <w:tabs>
                <w:tab w:val="left" w:pos="1395"/>
              </w:tabs>
              <w:jc w:val="center"/>
              <w:rPr>
                <w:b/>
              </w:rPr>
            </w:pPr>
            <w:r>
              <w:rPr>
                <w:b/>
              </w:rPr>
              <w:t>£m</w:t>
            </w:r>
          </w:p>
        </w:tc>
        <w:tc>
          <w:tcPr>
            <w:tcW w:w="2217" w:type="dxa"/>
          </w:tcPr>
          <w:p w:rsidR="007A48C8" w:rsidRDefault="005B32A6" w:rsidP="00CA4A8D">
            <w:pPr>
              <w:tabs>
                <w:tab w:val="left" w:pos="1395"/>
              </w:tabs>
              <w:jc w:val="center"/>
              <w:rPr>
                <w:b/>
              </w:rPr>
            </w:pPr>
            <w:r>
              <w:rPr>
                <w:b/>
              </w:rPr>
              <w:t>£m</w:t>
            </w:r>
          </w:p>
        </w:tc>
      </w:tr>
      <w:tr w:rsidR="00A00B5F" w:rsidTr="00CA4A8D">
        <w:trPr>
          <w:trHeight w:val="90"/>
        </w:trPr>
        <w:tc>
          <w:tcPr>
            <w:tcW w:w="2405" w:type="dxa"/>
            <w:gridSpan w:val="2"/>
          </w:tcPr>
          <w:p w:rsidR="007A48C8" w:rsidRPr="00835DB6" w:rsidRDefault="005B32A6" w:rsidP="00CA4A8D">
            <w:pPr>
              <w:tabs>
                <w:tab w:val="left" w:pos="1395"/>
              </w:tabs>
              <w:jc w:val="center"/>
            </w:pPr>
            <w:r>
              <w:t>-3.750</w:t>
            </w:r>
          </w:p>
        </w:tc>
        <w:tc>
          <w:tcPr>
            <w:tcW w:w="2268" w:type="dxa"/>
            <w:gridSpan w:val="3"/>
          </w:tcPr>
          <w:p w:rsidR="007A48C8" w:rsidRPr="00835DB6" w:rsidRDefault="005B32A6" w:rsidP="00CA4A8D">
            <w:pPr>
              <w:tabs>
                <w:tab w:val="left" w:pos="1395"/>
              </w:tabs>
              <w:jc w:val="center"/>
            </w:pPr>
            <w:r>
              <w:t>-1.250</w:t>
            </w:r>
          </w:p>
        </w:tc>
        <w:tc>
          <w:tcPr>
            <w:tcW w:w="2126" w:type="dxa"/>
            <w:gridSpan w:val="3"/>
          </w:tcPr>
          <w:p w:rsidR="007A48C8" w:rsidRPr="00835DB6" w:rsidRDefault="005B32A6" w:rsidP="00CA4A8D">
            <w:pPr>
              <w:tabs>
                <w:tab w:val="left" w:pos="1395"/>
              </w:tabs>
              <w:jc w:val="center"/>
            </w:pPr>
            <w:r>
              <w:t>0.000</w:t>
            </w:r>
          </w:p>
        </w:tc>
        <w:tc>
          <w:tcPr>
            <w:tcW w:w="2217" w:type="dxa"/>
          </w:tcPr>
          <w:p w:rsidR="007A48C8" w:rsidRPr="00835DB6" w:rsidRDefault="005B32A6" w:rsidP="00CA4A8D">
            <w:pPr>
              <w:tabs>
                <w:tab w:val="left" w:pos="1395"/>
              </w:tabs>
              <w:jc w:val="center"/>
            </w:pPr>
            <w:r>
              <w:t>-5.000</w:t>
            </w:r>
          </w:p>
        </w:tc>
      </w:tr>
      <w:tr w:rsidR="00A00B5F" w:rsidTr="00CA4A8D">
        <w:trPr>
          <w:trHeight w:val="90"/>
        </w:trPr>
        <w:tc>
          <w:tcPr>
            <w:tcW w:w="9016" w:type="dxa"/>
            <w:gridSpan w:val="9"/>
          </w:tcPr>
          <w:p w:rsidR="007A48C8" w:rsidRDefault="00433270" w:rsidP="00CA4A8D">
            <w:pPr>
              <w:tabs>
                <w:tab w:val="left" w:pos="1395"/>
              </w:tabs>
              <w:jc w:val="center"/>
              <w:rPr>
                <w:b/>
              </w:rPr>
            </w:pPr>
          </w:p>
        </w:tc>
      </w:tr>
      <w:tr w:rsidR="00A00B5F" w:rsidTr="00CA4A8D">
        <w:trPr>
          <w:trHeight w:val="90"/>
        </w:trPr>
        <w:tc>
          <w:tcPr>
            <w:tcW w:w="9016" w:type="dxa"/>
            <w:gridSpan w:val="9"/>
            <w:tcBorders>
              <w:top w:val="single" w:sz="4" w:space="0" w:color="000000"/>
              <w:left w:val="single" w:sz="4" w:space="0" w:color="000000"/>
              <w:bottom w:val="single" w:sz="4" w:space="0" w:color="000000"/>
              <w:right w:val="single" w:sz="4" w:space="0" w:color="000000"/>
            </w:tcBorders>
            <w:hideMark/>
          </w:tcPr>
          <w:p w:rsidR="007A48C8" w:rsidRDefault="005B32A6" w:rsidP="00CA4A8D">
            <w:pPr>
              <w:tabs>
                <w:tab w:val="left" w:pos="1395"/>
              </w:tabs>
              <w:spacing w:line="256" w:lineRule="auto"/>
              <w:rPr>
                <w:b/>
              </w:rPr>
            </w:pPr>
            <w:r>
              <w:rPr>
                <w:b/>
              </w:rPr>
              <w:t>FTE implications:</w:t>
            </w:r>
          </w:p>
        </w:tc>
      </w:tr>
      <w:tr w:rsidR="00A00B5F" w:rsidTr="00CA4A8D">
        <w:trPr>
          <w:trHeight w:val="90"/>
        </w:trPr>
        <w:tc>
          <w:tcPr>
            <w:tcW w:w="2254" w:type="dxa"/>
            <w:tcBorders>
              <w:top w:val="single" w:sz="4" w:space="0" w:color="000000"/>
              <w:left w:val="single" w:sz="4" w:space="0" w:color="000000"/>
              <w:bottom w:val="single" w:sz="4" w:space="0" w:color="000000"/>
              <w:right w:val="single" w:sz="4" w:space="0" w:color="000000"/>
            </w:tcBorders>
            <w:hideMark/>
          </w:tcPr>
          <w:p w:rsidR="007A48C8" w:rsidRDefault="005B32A6" w:rsidP="00CA4A8D">
            <w:pPr>
              <w:tabs>
                <w:tab w:val="left" w:pos="1395"/>
              </w:tabs>
              <w:spacing w:line="256" w:lineRule="auto"/>
              <w:jc w:val="center"/>
              <w:rPr>
                <w:b/>
              </w:rPr>
            </w:pPr>
            <w:r>
              <w:rPr>
                <w:b/>
              </w:rPr>
              <w:t>2018/19</w:t>
            </w:r>
          </w:p>
        </w:tc>
        <w:tc>
          <w:tcPr>
            <w:tcW w:w="2254" w:type="dxa"/>
            <w:gridSpan w:val="3"/>
            <w:tcBorders>
              <w:top w:val="single" w:sz="4" w:space="0" w:color="000000"/>
              <w:left w:val="single" w:sz="4" w:space="0" w:color="000000"/>
              <w:bottom w:val="single" w:sz="4" w:space="0" w:color="000000"/>
              <w:right w:val="single" w:sz="4" w:space="0" w:color="000000"/>
            </w:tcBorders>
            <w:hideMark/>
          </w:tcPr>
          <w:p w:rsidR="007A48C8" w:rsidRDefault="005B32A6" w:rsidP="00CA4A8D">
            <w:pPr>
              <w:tabs>
                <w:tab w:val="left" w:pos="1395"/>
              </w:tabs>
              <w:spacing w:line="256" w:lineRule="auto"/>
              <w:jc w:val="center"/>
              <w:rPr>
                <w:b/>
              </w:rPr>
            </w:pPr>
            <w:r>
              <w:rPr>
                <w:b/>
              </w:rPr>
              <w:t>2019/20</w:t>
            </w:r>
          </w:p>
        </w:tc>
        <w:tc>
          <w:tcPr>
            <w:tcW w:w="2254" w:type="dxa"/>
            <w:gridSpan w:val="3"/>
            <w:tcBorders>
              <w:top w:val="single" w:sz="4" w:space="0" w:color="000000"/>
              <w:left w:val="single" w:sz="4" w:space="0" w:color="000000"/>
              <w:bottom w:val="single" w:sz="4" w:space="0" w:color="000000"/>
              <w:right w:val="single" w:sz="4" w:space="0" w:color="000000"/>
            </w:tcBorders>
            <w:hideMark/>
          </w:tcPr>
          <w:p w:rsidR="007A48C8" w:rsidRDefault="005B32A6" w:rsidP="00CA4A8D">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rsidR="007A48C8" w:rsidRDefault="005B32A6" w:rsidP="00CA4A8D">
            <w:pPr>
              <w:tabs>
                <w:tab w:val="left" w:pos="1395"/>
              </w:tabs>
              <w:spacing w:line="256" w:lineRule="auto"/>
              <w:jc w:val="center"/>
              <w:rPr>
                <w:b/>
              </w:rPr>
            </w:pPr>
            <w:r>
              <w:rPr>
                <w:b/>
              </w:rPr>
              <w:t>Total</w:t>
            </w:r>
          </w:p>
        </w:tc>
      </w:tr>
      <w:tr w:rsidR="00A00B5F" w:rsidTr="00CA4A8D">
        <w:trPr>
          <w:trHeight w:val="90"/>
        </w:trPr>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7A48C8" w:rsidRDefault="005B32A6" w:rsidP="00CA4A8D">
            <w:pPr>
              <w:tabs>
                <w:tab w:val="left" w:pos="1395"/>
              </w:tabs>
              <w:spacing w:line="256" w:lineRule="auto"/>
              <w:jc w:val="center"/>
              <w:rPr>
                <w:i/>
              </w:rPr>
            </w:pPr>
            <w:r>
              <w:rPr>
                <w:i/>
              </w:rPr>
              <w:t>0.00</w:t>
            </w:r>
          </w:p>
        </w:tc>
        <w:tc>
          <w:tcPr>
            <w:tcW w:w="2254" w:type="dxa"/>
            <w:gridSpan w:val="3"/>
            <w:tcBorders>
              <w:top w:val="single" w:sz="4" w:space="0" w:color="000000"/>
              <w:left w:val="single" w:sz="4" w:space="0" w:color="000000"/>
              <w:bottom w:val="single" w:sz="4" w:space="0" w:color="000000"/>
              <w:right w:val="single" w:sz="4" w:space="0" w:color="000000"/>
            </w:tcBorders>
          </w:tcPr>
          <w:p w:rsidR="007A48C8" w:rsidRDefault="005B32A6" w:rsidP="00CA4A8D">
            <w:pPr>
              <w:tabs>
                <w:tab w:val="left" w:pos="1395"/>
              </w:tabs>
              <w:spacing w:line="256" w:lineRule="auto"/>
              <w:jc w:val="center"/>
              <w:rPr>
                <w:i/>
              </w:rPr>
            </w:pPr>
            <w:r>
              <w:rPr>
                <w:i/>
              </w:rPr>
              <w:t>0.00</w:t>
            </w:r>
          </w:p>
        </w:tc>
        <w:tc>
          <w:tcPr>
            <w:tcW w:w="2254" w:type="dxa"/>
            <w:gridSpan w:val="3"/>
            <w:tcBorders>
              <w:top w:val="single" w:sz="4" w:space="0" w:color="000000"/>
              <w:left w:val="single" w:sz="4" w:space="0" w:color="000000"/>
              <w:bottom w:val="single" w:sz="4" w:space="0" w:color="000000"/>
              <w:right w:val="single" w:sz="4" w:space="0" w:color="000000"/>
            </w:tcBorders>
          </w:tcPr>
          <w:p w:rsidR="007A48C8" w:rsidRDefault="005B32A6" w:rsidP="00CA4A8D">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tcPr>
          <w:p w:rsidR="007A48C8" w:rsidRDefault="005B32A6" w:rsidP="00CA4A8D">
            <w:pPr>
              <w:tabs>
                <w:tab w:val="left" w:pos="1395"/>
              </w:tabs>
              <w:spacing w:line="256" w:lineRule="auto"/>
              <w:jc w:val="center"/>
              <w:rPr>
                <w:i/>
              </w:rPr>
            </w:pPr>
            <w:r>
              <w:rPr>
                <w:i/>
              </w:rPr>
              <w:t>0.000</w:t>
            </w:r>
          </w:p>
        </w:tc>
      </w:tr>
      <w:tr w:rsidR="00A00B5F" w:rsidTr="00CA4A8D">
        <w:trPr>
          <w:trHeight w:val="90"/>
        </w:trPr>
        <w:tc>
          <w:tcPr>
            <w:tcW w:w="9016" w:type="dxa"/>
            <w:gridSpan w:val="9"/>
          </w:tcPr>
          <w:p w:rsidR="007A48C8" w:rsidRDefault="00433270" w:rsidP="00CA4A8D">
            <w:pPr>
              <w:tabs>
                <w:tab w:val="left" w:pos="1395"/>
              </w:tabs>
              <w:jc w:val="center"/>
              <w:rPr>
                <w:b/>
              </w:rPr>
            </w:pPr>
          </w:p>
        </w:tc>
      </w:tr>
      <w:tr w:rsidR="00A00B5F" w:rsidTr="00CA4A8D">
        <w:trPr>
          <w:trHeight w:val="1732"/>
        </w:trPr>
        <w:tc>
          <w:tcPr>
            <w:tcW w:w="2830" w:type="dxa"/>
            <w:gridSpan w:val="3"/>
          </w:tcPr>
          <w:p w:rsidR="007A48C8" w:rsidRPr="00543FFD" w:rsidRDefault="005B32A6" w:rsidP="007A48C8">
            <w:pPr>
              <w:jc w:val="left"/>
              <w:rPr>
                <w:b/>
              </w:rPr>
            </w:pPr>
            <w:r w:rsidRPr="00543FFD">
              <w:rPr>
                <w:b/>
              </w:rPr>
              <w:t>Decisions needed to deliver the budgeted savings</w:t>
            </w:r>
            <w:r w:rsidRPr="00543FFD">
              <w:rPr>
                <w:b/>
              </w:rPr>
              <w:br/>
            </w:r>
          </w:p>
          <w:p w:rsidR="007A48C8" w:rsidRDefault="00433270" w:rsidP="007A48C8">
            <w:pPr>
              <w:jc w:val="left"/>
            </w:pPr>
          </w:p>
        </w:tc>
        <w:tc>
          <w:tcPr>
            <w:tcW w:w="6186" w:type="dxa"/>
            <w:gridSpan w:val="6"/>
          </w:tcPr>
          <w:p w:rsidR="007A48C8" w:rsidRDefault="005B32A6" w:rsidP="00CA4A8D">
            <w:r>
              <w:t xml:space="preserve">Review staff terms and conditions across the County Council and enter into formal consultations with the recognised Trade Unions to achieve at least a £5m saving. </w:t>
            </w:r>
          </w:p>
          <w:p w:rsidR="007A48C8" w:rsidRPr="006F2802" w:rsidRDefault="00433270" w:rsidP="00CA4A8D"/>
        </w:tc>
      </w:tr>
      <w:tr w:rsidR="00A00B5F" w:rsidTr="00CA4A8D">
        <w:trPr>
          <w:trHeight w:val="70"/>
        </w:trPr>
        <w:tc>
          <w:tcPr>
            <w:tcW w:w="2830" w:type="dxa"/>
            <w:gridSpan w:val="3"/>
          </w:tcPr>
          <w:p w:rsidR="007A48C8" w:rsidRDefault="005B32A6" w:rsidP="007A48C8">
            <w:pPr>
              <w:jc w:val="left"/>
            </w:pPr>
            <w:r>
              <w:rPr>
                <w:b/>
              </w:rPr>
              <w:t>Impact upon service</w:t>
            </w:r>
          </w:p>
          <w:p w:rsidR="007A48C8" w:rsidRDefault="00433270" w:rsidP="007A48C8">
            <w:pPr>
              <w:jc w:val="left"/>
            </w:pPr>
          </w:p>
          <w:p w:rsidR="007A48C8" w:rsidRDefault="00433270" w:rsidP="007A48C8">
            <w:pPr>
              <w:jc w:val="left"/>
            </w:pPr>
          </w:p>
          <w:p w:rsidR="007A48C8" w:rsidRDefault="00433270" w:rsidP="007A48C8">
            <w:pPr>
              <w:jc w:val="left"/>
            </w:pPr>
          </w:p>
          <w:p w:rsidR="007A48C8" w:rsidRDefault="00433270" w:rsidP="007A48C8">
            <w:pPr>
              <w:jc w:val="left"/>
            </w:pPr>
          </w:p>
          <w:p w:rsidR="007A48C8" w:rsidRDefault="00433270" w:rsidP="007A48C8">
            <w:pPr>
              <w:jc w:val="left"/>
            </w:pPr>
          </w:p>
        </w:tc>
        <w:tc>
          <w:tcPr>
            <w:tcW w:w="6186" w:type="dxa"/>
            <w:gridSpan w:val="6"/>
          </w:tcPr>
          <w:p w:rsidR="007A48C8" w:rsidRDefault="005B32A6" w:rsidP="00CA4A8D">
            <w:r>
              <w:t xml:space="preserve">This may result in low staff morale and increased staff turnover. </w:t>
            </w:r>
          </w:p>
          <w:p w:rsidR="007A48C8" w:rsidRPr="006F2802" w:rsidRDefault="00433270" w:rsidP="00CA4A8D"/>
        </w:tc>
      </w:tr>
      <w:tr w:rsidR="00A00B5F" w:rsidTr="00CA4A8D">
        <w:trPr>
          <w:trHeight w:val="70"/>
        </w:trPr>
        <w:tc>
          <w:tcPr>
            <w:tcW w:w="2830" w:type="dxa"/>
            <w:gridSpan w:val="3"/>
          </w:tcPr>
          <w:p w:rsidR="007A48C8" w:rsidRDefault="005B32A6" w:rsidP="007A48C8">
            <w:pPr>
              <w:jc w:val="left"/>
            </w:pPr>
            <w:r>
              <w:rPr>
                <w:b/>
              </w:rPr>
              <w:t>Actions needed to deliver the target savings</w:t>
            </w:r>
          </w:p>
          <w:p w:rsidR="007A48C8" w:rsidRDefault="00433270" w:rsidP="007A48C8">
            <w:pPr>
              <w:jc w:val="left"/>
            </w:pPr>
          </w:p>
          <w:p w:rsidR="007A48C8" w:rsidRDefault="00433270" w:rsidP="007A48C8">
            <w:pPr>
              <w:jc w:val="left"/>
            </w:pPr>
          </w:p>
          <w:p w:rsidR="007A48C8" w:rsidRDefault="00433270" w:rsidP="007A48C8">
            <w:pPr>
              <w:jc w:val="left"/>
            </w:pPr>
          </w:p>
        </w:tc>
        <w:tc>
          <w:tcPr>
            <w:tcW w:w="6186" w:type="dxa"/>
            <w:gridSpan w:val="6"/>
          </w:tcPr>
          <w:p w:rsidR="007A48C8" w:rsidRDefault="005B32A6" w:rsidP="00CA4A8D">
            <w:r>
              <w:t xml:space="preserve">The Council would be required to serve a Notice under s.188 of the Trade Union and Labour Relations (Consolidation) Act 1992 on the recognised trade unions which would trigger a formal consultation of not less than 90 days. The purpose of the consultation would be to try to reach a collective agreement to introduce proposed changes to employment terms and conditions.  </w:t>
            </w:r>
          </w:p>
          <w:p w:rsidR="007A48C8" w:rsidRDefault="00433270" w:rsidP="00CA4A8D"/>
          <w:p w:rsidR="007A48C8" w:rsidRDefault="005B32A6" w:rsidP="00CA4A8D">
            <w:r>
              <w:t xml:space="preserve">The Notice is required as if  a collective agreement cannot be reached then the Council could only introduce the changes legally by dismissing staff and at the same time offering re-engagement on the basis of the new  terms and conditions  </w:t>
            </w:r>
          </w:p>
          <w:p w:rsidR="00B600F8" w:rsidRDefault="00433270" w:rsidP="00CA4A8D"/>
          <w:p w:rsidR="00B600F8" w:rsidRDefault="005B32A6" w:rsidP="00B600F8">
            <w:r>
              <w:t xml:space="preserve">An Equality Analysis will be undertaken for Cabinet to consider to comply with the Public Sector Equality Duty when the outcome of the consultation is reported back to Cabinet. </w:t>
            </w:r>
          </w:p>
          <w:p w:rsidR="00B600F8" w:rsidRDefault="00433270" w:rsidP="00CA4A8D"/>
          <w:p w:rsidR="00B600F8" w:rsidRDefault="00433270" w:rsidP="00CA4A8D"/>
          <w:p w:rsidR="007A48C8" w:rsidRPr="006F2802" w:rsidRDefault="00433270" w:rsidP="00CA4A8D"/>
        </w:tc>
      </w:tr>
    </w:tbl>
    <w:p w:rsidR="007A48C8" w:rsidRDefault="00433270" w:rsidP="007A48C8"/>
    <w:p w:rsidR="007A48C8" w:rsidRDefault="00433270" w:rsidP="007A48C8">
      <w:pPr>
        <w:rPr>
          <w:b/>
        </w:rPr>
      </w:pPr>
    </w:p>
    <w:p w:rsidR="007A48C8" w:rsidRPr="00CD00D1" w:rsidRDefault="00433270" w:rsidP="007A48C8"/>
    <w:p w:rsidR="007A48C8" w:rsidRDefault="00433270" w:rsidP="007D73B9">
      <w:pPr>
        <w:spacing w:after="0" w:line="259" w:lineRule="auto"/>
        <w:rPr>
          <w:rFonts w:cs="Arial"/>
          <w:b/>
        </w:rPr>
      </w:pPr>
    </w:p>
    <w:sectPr w:rsidR="007A48C8" w:rsidSect="003B1994">
      <w:pgSz w:w="11906" w:h="16838"/>
      <w:pgMar w:top="907" w:right="1440" w:bottom="79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8AA" w:rsidRDefault="005B32A6">
      <w:pPr>
        <w:spacing w:after="0"/>
      </w:pPr>
      <w:r>
        <w:separator/>
      </w:r>
    </w:p>
  </w:endnote>
  <w:endnote w:type="continuationSeparator" w:id="0">
    <w:p w:rsidR="00B748AA" w:rsidRDefault="005B32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rsidR="007D73B9" w:rsidRDefault="005B32A6">
        <w:pPr>
          <w:pStyle w:val="Footer"/>
        </w:pPr>
        <w:r>
          <w:fldChar w:fldCharType="begin"/>
        </w:r>
        <w:r>
          <w:instrText xml:space="preserve"> PAGE   \* MERGEFORMAT </w:instrText>
        </w:r>
        <w:r>
          <w:fldChar w:fldCharType="separate"/>
        </w:r>
        <w:r>
          <w:rPr>
            <w:noProof/>
          </w:rPr>
          <w:t>7</w:t>
        </w:r>
        <w:r>
          <w:rPr>
            <w:noProof/>
          </w:rPr>
          <w:fldChar w:fldCharType="end"/>
        </w:r>
      </w:p>
    </w:sdtContent>
  </w:sdt>
  <w:p w:rsidR="007D73B9" w:rsidRDefault="00433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295604"/>
      <w:docPartObj>
        <w:docPartGallery w:val="Page Numbers (Bottom of Page)"/>
        <w:docPartUnique/>
      </w:docPartObj>
    </w:sdtPr>
    <w:sdtEndPr>
      <w:rPr>
        <w:noProof/>
      </w:rPr>
    </w:sdtEndPr>
    <w:sdtContent>
      <w:p w:rsidR="00410D29" w:rsidRDefault="005B32A6" w:rsidP="00433270">
        <w:pPr>
          <w:pStyle w:val="Footer"/>
          <w:jc w:val="right"/>
        </w:pPr>
        <w:r>
          <w:fldChar w:fldCharType="begin"/>
        </w:r>
        <w:r>
          <w:instrText xml:space="preserve"> PAGE   \* MERGEFORMAT </w:instrText>
        </w:r>
        <w:r>
          <w:fldChar w:fldCharType="separate"/>
        </w:r>
        <w:r w:rsidR="00433270">
          <w:rPr>
            <w:noProof/>
          </w:rPr>
          <w:t>21</w:t>
        </w:r>
        <w:r>
          <w:rPr>
            <w:noProof/>
          </w:rPr>
          <w:fldChar w:fldCharType="end"/>
        </w:r>
      </w:p>
    </w:sdtContent>
  </w:sdt>
  <w:p w:rsidR="00410D29" w:rsidRDefault="00433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8AA" w:rsidRDefault="005B32A6">
      <w:pPr>
        <w:spacing w:after="0"/>
      </w:pPr>
      <w:r>
        <w:separator/>
      </w:r>
    </w:p>
  </w:footnote>
  <w:footnote w:type="continuationSeparator" w:id="0">
    <w:p w:rsidR="00B748AA" w:rsidRDefault="005B32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B9" w:rsidRDefault="00433270">
    <w:pPr>
      <w:pStyle w:val="Header"/>
    </w:pPr>
    <w:sdt>
      <w:sdtPr>
        <w:id w:val="-2063089987"/>
        <w:docPartObj>
          <w:docPartGallery w:val="Page Numbers (Top of Page)"/>
          <w:docPartUnique/>
        </w:docPartObj>
      </w:sdtPr>
      <w:sdtEndPr>
        <w:rPr>
          <w:noProof/>
        </w:rPr>
      </w:sdtEndPr>
      <w:sdtContent>
        <w:r w:rsidR="005B32A6">
          <w:fldChar w:fldCharType="begin"/>
        </w:r>
        <w:r w:rsidR="005B32A6">
          <w:instrText xml:space="preserve"> PAGE   \* MERGEFORMAT </w:instrText>
        </w:r>
        <w:r w:rsidR="005B32A6">
          <w:fldChar w:fldCharType="separate"/>
        </w:r>
        <w:r w:rsidR="005B32A6">
          <w:rPr>
            <w:noProof/>
          </w:rPr>
          <w:t>7</w:t>
        </w:r>
        <w:r w:rsidR="005B32A6">
          <w:rPr>
            <w:noProof/>
          </w:rPr>
          <w:fldChar w:fldCharType="end"/>
        </w:r>
      </w:sdtContent>
    </w:sdt>
  </w:p>
  <w:p w:rsidR="007D73B9" w:rsidRDefault="00433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B9" w:rsidRDefault="005B32A6"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-895985</wp:posOffset>
          </wp:positionH>
          <wp:positionV relativeFrom="paragraph">
            <wp:posOffset>-479425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29" w:rsidRDefault="00433270">
    <w:pPr>
      <w:pStyle w:val="Header"/>
    </w:pPr>
    <w:sdt>
      <w:sdtPr>
        <w:id w:val="-766691448"/>
        <w:docPartObj>
          <w:docPartGallery w:val="Page Numbers (Top of Page)"/>
          <w:docPartUnique/>
        </w:docPartObj>
      </w:sdtPr>
      <w:sdtEndPr>
        <w:rPr>
          <w:noProof/>
        </w:rPr>
      </w:sdtEndPr>
      <w:sdtContent>
        <w:r w:rsidR="005B32A6">
          <w:fldChar w:fldCharType="begin"/>
        </w:r>
        <w:r w:rsidR="005B32A6">
          <w:instrText xml:space="preserve"> PAGE   \* MERGEFORMAT </w:instrText>
        </w:r>
        <w:r w:rsidR="005B32A6">
          <w:fldChar w:fldCharType="separate"/>
        </w:r>
        <w:r>
          <w:rPr>
            <w:noProof/>
          </w:rPr>
          <w:t>21</w:t>
        </w:r>
        <w:r w:rsidR="005B32A6">
          <w:rPr>
            <w:noProof/>
          </w:rPr>
          <w:fldChar w:fldCharType="end"/>
        </w:r>
      </w:sdtContent>
    </w:sdt>
  </w:p>
  <w:p w:rsidR="00410D29" w:rsidRDefault="00433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79A576F"/>
    <w:multiLevelType w:val="multilevel"/>
    <w:tmpl w:val="EFDA2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1501FEC"/>
    <w:multiLevelType w:val="hybridMultilevel"/>
    <w:tmpl w:val="60F2A608"/>
    <w:lvl w:ilvl="0" w:tplc="6D908F82">
      <w:numFmt w:val="bullet"/>
      <w:lvlText w:val="-"/>
      <w:lvlJc w:val="left"/>
      <w:pPr>
        <w:ind w:left="720" w:hanging="360"/>
      </w:pPr>
      <w:rPr>
        <w:rFonts w:ascii="Arial" w:eastAsia="Calibri" w:hAnsi="Arial" w:cs="Wingdings" w:hint="default"/>
      </w:rPr>
    </w:lvl>
    <w:lvl w:ilvl="1" w:tplc="FB300146" w:tentative="1">
      <w:start w:val="1"/>
      <w:numFmt w:val="bullet"/>
      <w:lvlText w:val="o"/>
      <w:lvlJc w:val="left"/>
      <w:pPr>
        <w:ind w:left="1440" w:hanging="360"/>
      </w:pPr>
      <w:rPr>
        <w:rFonts w:ascii="Courier New" w:hAnsi="Courier New" w:cs="Wingdings" w:hint="default"/>
      </w:rPr>
    </w:lvl>
    <w:lvl w:ilvl="2" w:tplc="34A85A80" w:tentative="1">
      <w:start w:val="1"/>
      <w:numFmt w:val="bullet"/>
      <w:lvlText w:val=""/>
      <w:lvlJc w:val="left"/>
      <w:pPr>
        <w:ind w:left="2160" w:hanging="360"/>
      </w:pPr>
      <w:rPr>
        <w:rFonts w:ascii="Wingdings" w:hAnsi="Wingdings" w:hint="default"/>
      </w:rPr>
    </w:lvl>
    <w:lvl w:ilvl="3" w:tplc="4A5E7170" w:tentative="1">
      <w:start w:val="1"/>
      <w:numFmt w:val="bullet"/>
      <w:lvlText w:val=""/>
      <w:lvlJc w:val="left"/>
      <w:pPr>
        <w:ind w:left="2880" w:hanging="360"/>
      </w:pPr>
      <w:rPr>
        <w:rFonts w:ascii="Symbol" w:hAnsi="Symbol" w:hint="default"/>
      </w:rPr>
    </w:lvl>
    <w:lvl w:ilvl="4" w:tplc="694C02C4" w:tentative="1">
      <w:start w:val="1"/>
      <w:numFmt w:val="bullet"/>
      <w:lvlText w:val="o"/>
      <w:lvlJc w:val="left"/>
      <w:pPr>
        <w:ind w:left="3600" w:hanging="360"/>
      </w:pPr>
      <w:rPr>
        <w:rFonts w:ascii="Courier New" w:hAnsi="Courier New" w:cs="Wingdings" w:hint="default"/>
      </w:rPr>
    </w:lvl>
    <w:lvl w:ilvl="5" w:tplc="72549AB4" w:tentative="1">
      <w:start w:val="1"/>
      <w:numFmt w:val="bullet"/>
      <w:lvlText w:val=""/>
      <w:lvlJc w:val="left"/>
      <w:pPr>
        <w:ind w:left="4320" w:hanging="360"/>
      </w:pPr>
      <w:rPr>
        <w:rFonts w:ascii="Wingdings" w:hAnsi="Wingdings" w:hint="default"/>
      </w:rPr>
    </w:lvl>
    <w:lvl w:ilvl="6" w:tplc="929841CE" w:tentative="1">
      <w:start w:val="1"/>
      <w:numFmt w:val="bullet"/>
      <w:lvlText w:val=""/>
      <w:lvlJc w:val="left"/>
      <w:pPr>
        <w:ind w:left="5040" w:hanging="360"/>
      </w:pPr>
      <w:rPr>
        <w:rFonts w:ascii="Symbol" w:hAnsi="Symbol" w:hint="default"/>
      </w:rPr>
    </w:lvl>
    <w:lvl w:ilvl="7" w:tplc="D388B5E2" w:tentative="1">
      <w:start w:val="1"/>
      <w:numFmt w:val="bullet"/>
      <w:lvlText w:val="o"/>
      <w:lvlJc w:val="left"/>
      <w:pPr>
        <w:ind w:left="5760" w:hanging="360"/>
      </w:pPr>
      <w:rPr>
        <w:rFonts w:ascii="Courier New" w:hAnsi="Courier New" w:cs="Wingdings" w:hint="default"/>
      </w:rPr>
    </w:lvl>
    <w:lvl w:ilvl="8" w:tplc="36D4BC44" w:tentative="1">
      <w:start w:val="1"/>
      <w:numFmt w:val="bullet"/>
      <w:lvlText w:val=""/>
      <w:lvlJc w:val="left"/>
      <w:pPr>
        <w:ind w:left="6480" w:hanging="360"/>
      </w:pPr>
      <w:rPr>
        <w:rFonts w:ascii="Wingdings" w:hAnsi="Wingdings" w:hint="default"/>
      </w:rPr>
    </w:lvl>
  </w:abstractNum>
  <w:abstractNum w:abstractNumId="22" w15:restartNumberingAfterBreak="0">
    <w:nsid w:val="32DE378D"/>
    <w:multiLevelType w:val="hybridMultilevel"/>
    <w:tmpl w:val="669255CA"/>
    <w:lvl w:ilvl="0" w:tplc="F5C084F2">
      <w:start w:val="1"/>
      <w:numFmt w:val="bullet"/>
      <w:pStyle w:val="Bullet"/>
      <w:lvlText w:val=""/>
      <w:lvlJc w:val="left"/>
      <w:pPr>
        <w:ind w:left="363" w:hanging="360"/>
      </w:pPr>
      <w:rPr>
        <w:rFonts w:ascii="Symbol" w:hAnsi="Symbol" w:hint="default"/>
      </w:rPr>
    </w:lvl>
    <w:lvl w:ilvl="1" w:tplc="9C1A2684">
      <w:start w:val="1"/>
      <w:numFmt w:val="bullet"/>
      <w:pStyle w:val="Bullet-indent"/>
      <w:lvlText w:val="o"/>
      <w:lvlJc w:val="left"/>
      <w:pPr>
        <w:ind w:left="1083" w:hanging="360"/>
      </w:pPr>
      <w:rPr>
        <w:rFonts w:ascii="Courier New" w:hAnsi="Courier New" w:cs="Courier New" w:hint="default"/>
      </w:rPr>
    </w:lvl>
    <w:lvl w:ilvl="2" w:tplc="0BBC8FE8" w:tentative="1">
      <w:start w:val="1"/>
      <w:numFmt w:val="bullet"/>
      <w:lvlText w:val=""/>
      <w:lvlJc w:val="left"/>
      <w:pPr>
        <w:ind w:left="1803" w:hanging="360"/>
      </w:pPr>
      <w:rPr>
        <w:rFonts w:ascii="Wingdings" w:hAnsi="Wingdings" w:hint="default"/>
      </w:rPr>
    </w:lvl>
    <w:lvl w:ilvl="3" w:tplc="254A0180" w:tentative="1">
      <w:start w:val="1"/>
      <w:numFmt w:val="bullet"/>
      <w:lvlText w:val=""/>
      <w:lvlJc w:val="left"/>
      <w:pPr>
        <w:ind w:left="2523" w:hanging="360"/>
      </w:pPr>
      <w:rPr>
        <w:rFonts w:ascii="Symbol" w:hAnsi="Symbol" w:hint="default"/>
      </w:rPr>
    </w:lvl>
    <w:lvl w:ilvl="4" w:tplc="DE1A11BA" w:tentative="1">
      <w:start w:val="1"/>
      <w:numFmt w:val="bullet"/>
      <w:lvlText w:val="o"/>
      <w:lvlJc w:val="left"/>
      <w:pPr>
        <w:ind w:left="3243" w:hanging="360"/>
      </w:pPr>
      <w:rPr>
        <w:rFonts w:ascii="Courier New" w:hAnsi="Courier New" w:cs="Courier New" w:hint="default"/>
      </w:rPr>
    </w:lvl>
    <w:lvl w:ilvl="5" w:tplc="72DE0F9E" w:tentative="1">
      <w:start w:val="1"/>
      <w:numFmt w:val="bullet"/>
      <w:lvlText w:val=""/>
      <w:lvlJc w:val="left"/>
      <w:pPr>
        <w:ind w:left="3963" w:hanging="360"/>
      </w:pPr>
      <w:rPr>
        <w:rFonts w:ascii="Wingdings" w:hAnsi="Wingdings" w:hint="default"/>
      </w:rPr>
    </w:lvl>
    <w:lvl w:ilvl="6" w:tplc="8EC2398E" w:tentative="1">
      <w:start w:val="1"/>
      <w:numFmt w:val="bullet"/>
      <w:lvlText w:val=""/>
      <w:lvlJc w:val="left"/>
      <w:pPr>
        <w:ind w:left="4683" w:hanging="360"/>
      </w:pPr>
      <w:rPr>
        <w:rFonts w:ascii="Symbol" w:hAnsi="Symbol" w:hint="default"/>
      </w:rPr>
    </w:lvl>
    <w:lvl w:ilvl="7" w:tplc="8CBEFDEC" w:tentative="1">
      <w:start w:val="1"/>
      <w:numFmt w:val="bullet"/>
      <w:lvlText w:val="o"/>
      <w:lvlJc w:val="left"/>
      <w:pPr>
        <w:ind w:left="5403" w:hanging="360"/>
      </w:pPr>
      <w:rPr>
        <w:rFonts w:ascii="Courier New" w:hAnsi="Courier New" w:cs="Courier New" w:hint="default"/>
      </w:rPr>
    </w:lvl>
    <w:lvl w:ilvl="8" w:tplc="01BCF6DC" w:tentative="1">
      <w:start w:val="1"/>
      <w:numFmt w:val="bullet"/>
      <w:lvlText w:val=""/>
      <w:lvlJc w:val="left"/>
      <w:pPr>
        <w:ind w:left="6123" w:hanging="360"/>
      </w:pPr>
      <w:rPr>
        <w:rFonts w:ascii="Wingdings" w:hAnsi="Wingdings" w:hint="default"/>
      </w:rPr>
    </w:lvl>
  </w:abstractNum>
  <w:abstractNum w:abstractNumId="23" w15:restartNumberingAfterBreak="0">
    <w:nsid w:val="420860A3"/>
    <w:multiLevelType w:val="hybridMultilevel"/>
    <w:tmpl w:val="2DF6A548"/>
    <w:lvl w:ilvl="0" w:tplc="5F72FDE4">
      <w:start w:val="1"/>
      <w:numFmt w:val="decimal"/>
      <w:pStyle w:val="Heading2-numbered"/>
      <w:lvlText w:val="%1."/>
      <w:lvlJc w:val="left"/>
      <w:pPr>
        <w:ind w:left="360" w:hanging="360"/>
      </w:pPr>
    </w:lvl>
    <w:lvl w:ilvl="1" w:tplc="A8A09222" w:tentative="1">
      <w:start w:val="1"/>
      <w:numFmt w:val="lowerLetter"/>
      <w:lvlText w:val="%2."/>
      <w:lvlJc w:val="left"/>
      <w:pPr>
        <w:ind w:left="1080" w:hanging="360"/>
      </w:pPr>
    </w:lvl>
    <w:lvl w:ilvl="2" w:tplc="A91C0A36" w:tentative="1">
      <w:start w:val="1"/>
      <w:numFmt w:val="lowerRoman"/>
      <w:lvlText w:val="%3."/>
      <w:lvlJc w:val="right"/>
      <w:pPr>
        <w:ind w:left="1800" w:hanging="180"/>
      </w:pPr>
    </w:lvl>
    <w:lvl w:ilvl="3" w:tplc="1194BDF2" w:tentative="1">
      <w:start w:val="1"/>
      <w:numFmt w:val="decimal"/>
      <w:lvlText w:val="%4."/>
      <w:lvlJc w:val="left"/>
      <w:pPr>
        <w:ind w:left="2520" w:hanging="360"/>
      </w:pPr>
    </w:lvl>
    <w:lvl w:ilvl="4" w:tplc="83AE15A8" w:tentative="1">
      <w:start w:val="1"/>
      <w:numFmt w:val="lowerLetter"/>
      <w:lvlText w:val="%5."/>
      <w:lvlJc w:val="left"/>
      <w:pPr>
        <w:ind w:left="3240" w:hanging="360"/>
      </w:pPr>
    </w:lvl>
    <w:lvl w:ilvl="5" w:tplc="2E28167A" w:tentative="1">
      <w:start w:val="1"/>
      <w:numFmt w:val="lowerRoman"/>
      <w:lvlText w:val="%6."/>
      <w:lvlJc w:val="right"/>
      <w:pPr>
        <w:ind w:left="3960" w:hanging="180"/>
      </w:pPr>
    </w:lvl>
    <w:lvl w:ilvl="6" w:tplc="85D6DB38" w:tentative="1">
      <w:start w:val="1"/>
      <w:numFmt w:val="decimal"/>
      <w:lvlText w:val="%7."/>
      <w:lvlJc w:val="left"/>
      <w:pPr>
        <w:ind w:left="4680" w:hanging="360"/>
      </w:pPr>
    </w:lvl>
    <w:lvl w:ilvl="7" w:tplc="A99422F2" w:tentative="1">
      <w:start w:val="1"/>
      <w:numFmt w:val="lowerLetter"/>
      <w:lvlText w:val="%8."/>
      <w:lvlJc w:val="left"/>
      <w:pPr>
        <w:ind w:left="5400" w:hanging="360"/>
      </w:pPr>
    </w:lvl>
    <w:lvl w:ilvl="8" w:tplc="06DEE1BC" w:tentative="1">
      <w:start w:val="1"/>
      <w:numFmt w:val="lowerRoman"/>
      <w:lvlText w:val="%9."/>
      <w:lvlJc w:val="right"/>
      <w:pPr>
        <w:ind w:left="6120" w:hanging="180"/>
      </w:pPr>
    </w:lvl>
  </w:abstractNum>
  <w:abstractNum w:abstractNumId="24" w15:restartNumberingAfterBreak="0">
    <w:nsid w:val="464C0B07"/>
    <w:multiLevelType w:val="hybridMultilevel"/>
    <w:tmpl w:val="17E4EE46"/>
    <w:lvl w:ilvl="0" w:tplc="29EEEBD8">
      <w:start w:val="1"/>
      <w:numFmt w:val="bullet"/>
      <w:lvlText w:val=""/>
      <w:lvlJc w:val="left"/>
      <w:pPr>
        <w:ind w:left="720" w:hanging="360"/>
      </w:pPr>
      <w:rPr>
        <w:rFonts w:ascii="Symbol" w:hAnsi="Symbol" w:hint="default"/>
      </w:rPr>
    </w:lvl>
    <w:lvl w:ilvl="1" w:tplc="6E28627E" w:tentative="1">
      <w:start w:val="1"/>
      <w:numFmt w:val="bullet"/>
      <w:lvlText w:val="o"/>
      <w:lvlJc w:val="left"/>
      <w:pPr>
        <w:ind w:left="1440" w:hanging="360"/>
      </w:pPr>
      <w:rPr>
        <w:rFonts w:ascii="Courier New" w:hAnsi="Courier New" w:cs="Courier New" w:hint="default"/>
      </w:rPr>
    </w:lvl>
    <w:lvl w:ilvl="2" w:tplc="E2DE12E2" w:tentative="1">
      <w:start w:val="1"/>
      <w:numFmt w:val="bullet"/>
      <w:lvlText w:val=""/>
      <w:lvlJc w:val="left"/>
      <w:pPr>
        <w:ind w:left="2160" w:hanging="360"/>
      </w:pPr>
      <w:rPr>
        <w:rFonts w:ascii="Wingdings" w:hAnsi="Wingdings" w:hint="default"/>
      </w:rPr>
    </w:lvl>
    <w:lvl w:ilvl="3" w:tplc="D2A8F8FA" w:tentative="1">
      <w:start w:val="1"/>
      <w:numFmt w:val="bullet"/>
      <w:lvlText w:val=""/>
      <w:lvlJc w:val="left"/>
      <w:pPr>
        <w:ind w:left="2880" w:hanging="360"/>
      </w:pPr>
      <w:rPr>
        <w:rFonts w:ascii="Symbol" w:hAnsi="Symbol" w:hint="default"/>
      </w:rPr>
    </w:lvl>
    <w:lvl w:ilvl="4" w:tplc="50DC5AF8" w:tentative="1">
      <w:start w:val="1"/>
      <w:numFmt w:val="bullet"/>
      <w:lvlText w:val="o"/>
      <w:lvlJc w:val="left"/>
      <w:pPr>
        <w:ind w:left="3600" w:hanging="360"/>
      </w:pPr>
      <w:rPr>
        <w:rFonts w:ascii="Courier New" w:hAnsi="Courier New" w:cs="Courier New" w:hint="default"/>
      </w:rPr>
    </w:lvl>
    <w:lvl w:ilvl="5" w:tplc="59D6D1AA" w:tentative="1">
      <w:start w:val="1"/>
      <w:numFmt w:val="bullet"/>
      <w:lvlText w:val=""/>
      <w:lvlJc w:val="left"/>
      <w:pPr>
        <w:ind w:left="4320" w:hanging="360"/>
      </w:pPr>
      <w:rPr>
        <w:rFonts w:ascii="Wingdings" w:hAnsi="Wingdings" w:hint="default"/>
      </w:rPr>
    </w:lvl>
    <w:lvl w:ilvl="6" w:tplc="F6CEDD30" w:tentative="1">
      <w:start w:val="1"/>
      <w:numFmt w:val="bullet"/>
      <w:lvlText w:val=""/>
      <w:lvlJc w:val="left"/>
      <w:pPr>
        <w:ind w:left="5040" w:hanging="360"/>
      </w:pPr>
      <w:rPr>
        <w:rFonts w:ascii="Symbol" w:hAnsi="Symbol" w:hint="default"/>
      </w:rPr>
    </w:lvl>
    <w:lvl w:ilvl="7" w:tplc="33FE2346" w:tentative="1">
      <w:start w:val="1"/>
      <w:numFmt w:val="bullet"/>
      <w:lvlText w:val="o"/>
      <w:lvlJc w:val="left"/>
      <w:pPr>
        <w:ind w:left="5760" w:hanging="360"/>
      </w:pPr>
      <w:rPr>
        <w:rFonts w:ascii="Courier New" w:hAnsi="Courier New" w:cs="Courier New" w:hint="default"/>
      </w:rPr>
    </w:lvl>
    <w:lvl w:ilvl="8" w:tplc="974CD776" w:tentative="1">
      <w:start w:val="1"/>
      <w:numFmt w:val="bullet"/>
      <w:lvlText w:val=""/>
      <w:lvlJc w:val="left"/>
      <w:pPr>
        <w:ind w:left="6480" w:hanging="360"/>
      </w:pPr>
      <w:rPr>
        <w:rFonts w:ascii="Wingdings" w:hAnsi="Wingdings" w:hint="default"/>
      </w:rPr>
    </w:lvl>
  </w:abstractNum>
  <w:abstractNum w:abstractNumId="25" w15:restartNumberingAfterBreak="0">
    <w:nsid w:val="4A6F56FE"/>
    <w:multiLevelType w:val="hybridMultilevel"/>
    <w:tmpl w:val="8E28017E"/>
    <w:lvl w:ilvl="0" w:tplc="10E47B5A">
      <w:numFmt w:val="bullet"/>
      <w:lvlText w:val=""/>
      <w:lvlJc w:val="left"/>
      <w:pPr>
        <w:ind w:left="720" w:hanging="360"/>
      </w:pPr>
      <w:rPr>
        <w:rFonts w:ascii="Symbol" w:eastAsia="Calibri" w:hAnsi="Symbol" w:cs="Times New Roman" w:hint="default"/>
      </w:rPr>
    </w:lvl>
    <w:lvl w:ilvl="1" w:tplc="8EBE9366" w:tentative="1">
      <w:start w:val="1"/>
      <w:numFmt w:val="bullet"/>
      <w:lvlText w:val="o"/>
      <w:lvlJc w:val="left"/>
      <w:pPr>
        <w:ind w:left="1440" w:hanging="360"/>
      </w:pPr>
      <w:rPr>
        <w:rFonts w:ascii="Courier New" w:hAnsi="Courier New" w:cs="Wingdings" w:hint="default"/>
      </w:rPr>
    </w:lvl>
    <w:lvl w:ilvl="2" w:tplc="38B2882A" w:tentative="1">
      <w:start w:val="1"/>
      <w:numFmt w:val="bullet"/>
      <w:lvlText w:val=""/>
      <w:lvlJc w:val="left"/>
      <w:pPr>
        <w:ind w:left="2160" w:hanging="360"/>
      </w:pPr>
      <w:rPr>
        <w:rFonts w:ascii="Wingdings" w:hAnsi="Wingdings" w:hint="default"/>
      </w:rPr>
    </w:lvl>
    <w:lvl w:ilvl="3" w:tplc="5166192C" w:tentative="1">
      <w:start w:val="1"/>
      <w:numFmt w:val="bullet"/>
      <w:lvlText w:val=""/>
      <w:lvlJc w:val="left"/>
      <w:pPr>
        <w:ind w:left="2880" w:hanging="360"/>
      </w:pPr>
      <w:rPr>
        <w:rFonts w:ascii="Symbol" w:hAnsi="Symbol" w:hint="default"/>
      </w:rPr>
    </w:lvl>
    <w:lvl w:ilvl="4" w:tplc="27CAC3CE" w:tentative="1">
      <w:start w:val="1"/>
      <w:numFmt w:val="bullet"/>
      <w:lvlText w:val="o"/>
      <w:lvlJc w:val="left"/>
      <w:pPr>
        <w:ind w:left="3600" w:hanging="360"/>
      </w:pPr>
      <w:rPr>
        <w:rFonts w:ascii="Courier New" w:hAnsi="Courier New" w:cs="Wingdings" w:hint="default"/>
      </w:rPr>
    </w:lvl>
    <w:lvl w:ilvl="5" w:tplc="6C76858E" w:tentative="1">
      <w:start w:val="1"/>
      <w:numFmt w:val="bullet"/>
      <w:lvlText w:val=""/>
      <w:lvlJc w:val="left"/>
      <w:pPr>
        <w:ind w:left="4320" w:hanging="360"/>
      </w:pPr>
      <w:rPr>
        <w:rFonts w:ascii="Wingdings" w:hAnsi="Wingdings" w:hint="default"/>
      </w:rPr>
    </w:lvl>
    <w:lvl w:ilvl="6" w:tplc="11E6208E" w:tentative="1">
      <w:start w:val="1"/>
      <w:numFmt w:val="bullet"/>
      <w:lvlText w:val=""/>
      <w:lvlJc w:val="left"/>
      <w:pPr>
        <w:ind w:left="5040" w:hanging="360"/>
      </w:pPr>
      <w:rPr>
        <w:rFonts w:ascii="Symbol" w:hAnsi="Symbol" w:hint="default"/>
      </w:rPr>
    </w:lvl>
    <w:lvl w:ilvl="7" w:tplc="64DA97A2" w:tentative="1">
      <w:start w:val="1"/>
      <w:numFmt w:val="bullet"/>
      <w:lvlText w:val="o"/>
      <w:lvlJc w:val="left"/>
      <w:pPr>
        <w:ind w:left="5760" w:hanging="360"/>
      </w:pPr>
      <w:rPr>
        <w:rFonts w:ascii="Courier New" w:hAnsi="Courier New" w:cs="Wingdings" w:hint="default"/>
      </w:rPr>
    </w:lvl>
    <w:lvl w:ilvl="8" w:tplc="8C74B3D0" w:tentative="1">
      <w:start w:val="1"/>
      <w:numFmt w:val="bullet"/>
      <w:lvlText w:val=""/>
      <w:lvlJc w:val="left"/>
      <w:pPr>
        <w:ind w:left="6480" w:hanging="360"/>
      </w:pPr>
      <w:rPr>
        <w:rFonts w:ascii="Wingdings" w:hAnsi="Wingdings" w:hint="default"/>
      </w:rPr>
    </w:lvl>
  </w:abstractNum>
  <w:abstractNum w:abstractNumId="26" w15:restartNumberingAfterBreak="0">
    <w:nsid w:val="63F759CD"/>
    <w:multiLevelType w:val="hybridMultilevel"/>
    <w:tmpl w:val="6FF22088"/>
    <w:lvl w:ilvl="0" w:tplc="7BF4C0AC">
      <w:start w:val="1"/>
      <w:numFmt w:val="decimal"/>
      <w:pStyle w:val="Heading4"/>
      <w:lvlText w:val="%1."/>
      <w:lvlJc w:val="left"/>
      <w:pPr>
        <w:ind w:left="360" w:hanging="360"/>
      </w:pPr>
    </w:lvl>
    <w:lvl w:ilvl="1" w:tplc="292E14D2" w:tentative="1">
      <w:start w:val="1"/>
      <w:numFmt w:val="lowerLetter"/>
      <w:lvlText w:val="%2."/>
      <w:lvlJc w:val="left"/>
      <w:pPr>
        <w:ind w:left="1080" w:hanging="360"/>
      </w:pPr>
    </w:lvl>
    <w:lvl w:ilvl="2" w:tplc="435A2D7C" w:tentative="1">
      <w:start w:val="1"/>
      <w:numFmt w:val="lowerRoman"/>
      <w:lvlText w:val="%3."/>
      <w:lvlJc w:val="right"/>
      <w:pPr>
        <w:ind w:left="1800" w:hanging="180"/>
      </w:pPr>
    </w:lvl>
    <w:lvl w:ilvl="3" w:tplc="3CBE950C" w:tentative="1">
      <w:start w:val="1"/>
      <w:numFmt w:val="decimal"/>
      <w:lvlText w:val="%4."/>
      <w:lvlJc w:val="left"/>
      <w:pPr>
        <w:ind w:left="2520" w:hanging="360"/>
      </w:pPr>
    </w:lvl>
    <w:lvl w:ilvl="4" w:tplc="8AC05C20" w:tentative="1">
      <w:start w:val="1"/>
      <w:numFmt w:val="lowerLetter"/>
      <w:lvlText w:val="%5."/>
      <w:lvlJc w:val="left"/>
      <w:pPr>
        <w:ind w:left="3240" w:hanging="360"/>
      </w:pPr>
    </w:lvl>
    <w:lvl w:ilvl="5" w:tplc="D396CD8E" w:tentative="1">
      <w:start w:val="1"/>
      <w:numFmt w:val="lowerRoman"/>
      <w:lvlText w:val="%6."/>
      <w:lvlJc w:val="right"/>
      <w:pPr>
        <w:ind w:left="3960" w:hanging="180"/>
      </w:pPr>
    </w:lvl>
    <w:lvl w:ilvl="6" w:tplc="77BE2612" w:tentative="1">
      <w:start w:val="1"/>
      <w:numFmt w:val="decimal"/>
      <w:lvlText w:val="%7."/>
      <w:lvlJc w:val="left"/>
      <w:pPr>
        <w:ind w:left="4680" w:hanging="360"/>
      </w:pPr>
    </w:lvl>
    <w:lvl w:ilvl="7" w:tplc="E0A6FB2C" w:tentative="1">
      <w:start w:val="1"/>
      <w:numFmt w:val="lowerLetter"/>
      <w:lvlText w:val="%8."/>
      <w:lvlJc w:val="left"/>
      <w:pPr>
        <w:ind w:left="5400" w:hanging="360"/>
      </w:pPr>
    </w:lvl>
    <w:lvl w:ilvl="8" w:tplc="7F72E0E2" w:tentative="1">
      <w:start w:val="1"/>
      <w:numFmt w:val="lowerRoman"/>
      <w:lvlText w:val="%9."/>
      <w:lvlJc w:val="right"/>
      <w:pPr>
        <w:ind w:left="6120" w:hanging="180"/>
      </w:pPr>
    </w:lvl>
  </w:abstractNum>
  <w:abstractNum w:abstractNumId="27" w15:restartNumberingAfterBreak="0">
    <w:nsid w:val="70C63A00"/>
    <w:multiLevelType w:val="hybridMultilevel"/>
    <w:tmpl w:val="5B485A6E"/>
    <w:lvl w:ilvl="0" w:tplc="8468EBD6">
      <w:numFmt w:val="bullet"/>
      <w:lvlText w:val="-"/>
      <w:lvlJc w:val="left"/>
      <w:pPr>
        <w:ind w:left="720" w:hanging="360"/>
      </w:pPr>
      <w:rPr>
        <w:rFonts w:ascii="Arial" w:eastAsia="Calibri" w:hAnsi="Arial" w:cs="Wingdings" w:hint="default"/>
      </w:rPr>
    </w:lvl>
    <w:lvl w:ilvl="1" w:tplc="1AD0E16C" w:tentative="1">
      <w:start w:val="1"/>
      <w:numFmt w:val="bullet"/>
      <w:lvlText w:val="o"/>
      <w:lvlJc w:val="left"/>
      <w:pPr>
        <w:ind w:left="1440" w:hanging="360"/>
      </w:pPr>
      <w:rPr>
        <w:rFonts w:ascii="Courier New" w:hAnsi="Courier New" w:cs="Wingdings" w:hint="default"/>
      </w:rPr>
    </w:lvl>
    <w:lvl w:ilvl="2" w:tplc="8C22778E" w:tentative="1">
      <w:start w:val="1"/>
      <w:numFmt w:val="bullet"/>
      <w:lvlText w:val=""/>
      <w:lvlJc w:val="left"/>
      <w:pPr>
        <w:ind w:left="2160" w:hanging="360"/>
      </w:pPr>
      <w:rPr>
        <w:rFonts w:ascii="Wingdings" w:hAnsi="Wingdings" w:hint="default"/>
      </w:rPr>
    </w:lvl>
    <w:lvl w:ilvl="3" w:tplc="1E528A9E" w:tentative="1">
      <w:start w:val="1"/>
      <w:numFmt w:val="bullet"/>
      <w:lvlText w:val=""/>
      <w:lvlJc w:val="left"/>
      <w:pPr>
        <w:ind w:left="2880" w:hanging="360"/>
      </w:pPr>
      <w:rPr>
        <w:rFonts w:ascii="Symbol" w:hAnsi="Symbol" w:hint="default"/>
      </w:rPr>
    </w:lvl>
    <w:lvl w:ilvl="4" w:tplc="4D809DFA" w:tentative="1">
      <w:start w:val="1"/>
      <w:numFmt w:val="bullet"/>
      <w:lvlText w:val="o"/>
      <w:lvlJc w:val="left"/>
      <w:pPr>
        <w:ind w:left="3600" w:hanging="360"/>
      </w:pPr>
      <w:rPr>
        <w:rFonts w:ascii="Courier New" w:hAnsi="Courier New" w:cs="Wingdings" w:hint="default"/>
      </w:rPr>
    </w:lvl>
    <w:lvl w:ilvl="5" w:tplc="F0BE58F6" w:tentative="1">
      <w:start w:val="1"/>
      <w:numFmt w:val="bullet"/>
      <w:lvlText w:val=""/>
      <w:lvlJc w:val="left"/>
      <w:pPr>
        <w:ind w:left="4320" w:hanging="360"/>
      </w:pPr>
      <w:rPr>
        <w:rFonts w:ascii="Wingdings" w:hAnsi="Wingdings" w:hint="default"/>
      </w:rPr>
    </w:lvl>
    <w:lvl w:ilvl="6" w:tplc="56849E16" w:tentative="1">
      <w:start w:val="1"/>
      <w:numFmt w:val="bullet"/>
      <w:lvlText w:val=""/>
      <w:lvlJc w:val="left"/>
      <w:pPr>
        <w:ind w:left="5040" w:hanging="360"/>
      </w:pPr>
      <w:rPr>
        <w:rFonts w:ascii="Symbol" w:hAnsi="Symbol" w:hint="default"/>
      </w:rPr>
    </w:lvl>
    <w:lvl w:ilvl="7" w:tplc="47B8E44C" w:tentative="1">
      <w:start w:val="1"/>
      <w:numFmt w:val="bullet"/>
      <w:lvlText w:val="o"/>
      <w:lvlJc w:val="left"/>
      <w:pPr>
        <w:ind w:left="5760" w:hanging="360"/>
      </w:pPr>
      <w:rPr>
        <w:rFonts w:ascii="Courier New" w:hAnsi="Courier New" w:cs="Wingdings" w:hint="default"/>
      </w:rPr>
    </w:lvl>
    <w:lvl w:ilvl="8" w:tplc="C3D41A22" w:tentative="1">
      <w:start w:val="1"/>
      <w:numFmt w:val="bullet"/>
      <w:lvlText w:val=""/>
      <w:lvlJc w:val="left"/>
      <w:pPr>
        <w:ind w:left="6480" w:hanging="360"/>
      </w:pPr>
      <w:rPr>
        <w:rFonts w:ascii="Wingdings" w:hAnsi="Wingdings" w:hint="default"/>
      </w:rPr>
    </w:lvl>
  </w:abstractNum>
  <w:abstractNum w:abstractNumId="28" w15:restartNumberingAfterBreak="0">
    <w:nsid w:val="712C6B77"/>
    <w:multiLevelType w:val="hybridMultilevel"/>
    <w:tmpl w:val="808278F0"/>
    <w:lvl w:ilvl="0" w:tplc="8236EB40">
      <w:start w:val="1"/>
      <w:numFmt w:val="decimal"/>
      <w:pStyle w:val="Heading3-numbered"/>
      <w:lvlText w:val="%1."/>
      <w:lvlJc w:val="left"/>
      <w:pPr>
        <w:ind w:left="360" w:hanging="360"/>
      </w:pPr>
      <w:rPr>
        <w:b/>
        <w:i w:val="0"/>
        <w:color w:val="auto"/>
        <w:sz w:val="28"/>
        <w:szCs w:val="28"/>
      </w:rPr>
    </w:lvl>
    <w:lvl w:ilvl="1" w:tplc="7E6208B2" w:tentative="1">
      <w:start w:val="1"/>
      <w:numFmt w:val="lowerLetter"/>
      <w:lvlText w:val="%2."/>
      <w:lvlJc w:val="left"/>
      <w:pPr>
        <w:ind w:left="1080" w:hanging="360"/>
      </w:pPr>
    </w:lvl>
    <w:lvl w:ilvl="2" w:tplc="E3561980" w:tentative="1">
      <w:start w:val="1"/>
      <w:numFmt w:val="lowerRoman"/>
      <w:lvlText w:val="%3."/>
      <w:lvlJc w:val="right"/>
      <w:pPr>
        <w:ind w:left="1800" w:hanging="180"/>
      </w:pPr>
    </w:lvl>
    <w:lvl w:ilvl="3" w:tplc="84E4912E" w:tentative="1">
      <w:start w:val="1"/>
      <w:numFmt w:val="decimal"/>
      <w:lvlText w:val="%4."/>
      <w:lvlJc w:val="left"/>
      <w:pPr>
        <w:ind w:left="2520" w:hanging="360"/>
      </w:pPr>
    </w:lvl>
    <w:lvl w:ilvl="4" w:tplc="FD100492" w:tentative="1">
      <w:start w:val="1"/>
      <w:numFmt w:val="lowerLetter"/>
      <w:lvlText w:val="%5."/>
      <w:lvlJc w:val="left"/>
      <w:pPr>
        <w:ind w:left="3240" w:hanging="360"/>
      </w:pPr>
    </w:lvl>
    <w:lvl w:ilvl="5" w:tplc="B9B4E520" w:tentative="1">
      <w:start w:val="1"/>
      <w:numFmt w:val="lowerRoman"/>
      <w:lvlText w:val="%6."/>
      <w:lvlJc w:val="right"/>
      <w:pPr>
        <w:ind w:left="3960" w:hanging="180"/>
      </w:pPr>
    </w:lvl>
    <w:lvl w:ilvl="6" w:tplc="BBD0D574" w:tentative="1">
      <w:start w:val="1"/>
      <w:numFmt w:val="decimal"/>
      <w:lvlText w:val="%7."/>
      <w:lvlJc w:val="left"/>
      <w:pPr>
        <w:ind w:left="4680" w:hanging="360"/>
      </w:pPr>
    </w:lvl>
    <w:lvl w:ilvl="7" w:tplc="42F4F760" w:tentative="1">
      <w:start w:val="1"/>
      <w:numFmt w:val="lowerLetter"/>
      <w:lvlText w:val="%8."/>
      <w:lvlJc w:val="left"/>
      <w:pPr>
        <w:ind w:left="5400" w:hanging="360"/>
      </w:pPr>
    </w:lvl>
    <w:lvl w:ilvl="8" w:tplc="D9B0B56C" w:tentative="1">
      <w:start w:val="1"/>
      <w:numFmt w:val="lowerRoman"/>
      <w:lvlText w:val="%9."/>
      <w:lvlJc w:val="right"/>
      <w:pPr>
        <w:ind w:left="6120" w:hanging="180"/>
      </w:pPr>
    </w:lvl>
  </w:abstractNum>
  <w:num w:numId="1">
    <w:abstractNumId w:val="22"/>
  </w:num>
  <w:num w:numId="2">
    <w:abstractNumId w:val="23"/>
  </w:num>
  <w:num w:numId="3">
    <w:abstractNumId w:val="28"/>
  </w:num>
  <w:num w:numId="4">
    <w:abstractNumId w:val="26"/>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20"/>
  </w:num>
  <w:num w:numId="27">
    <w:abstractNumId w:val="25"/>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5F"/>
    <w:rsid w:val="003A7AED"/>
    <w:rsid w:val="00433270"/>
    <w:rsid w:val="0044772A"/>
    <w:rsid w:val="005B32A6"/>
    <w:rsid w:val="00A00B5F"/>
    <w:rsid w:val="00B748AA"/>
    <w:rsid w:val="00BF501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11E29-7A2A-472B-985A-88AC7AE4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64B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72"/>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10D29"/>
    <w:pPr>
      <w:autoSpaceDE/>
      <w:autoSpaceDN/>
      <w:adjustRightInd/>
      <w:spacing w:after="200" w:line="276" w:lineRule="auto"/>
      <w:ind w:left="720"/>
      <w:contextualSpacing/>
      <w:jc w:val="left"/>
    </w:pPr>
    <w:rPr>
      <w:rFonts w:cs="Times New Roman"/>
      <w:color w:val="auto"/>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eanette.binns@lancashire.gov.uk"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qualityhumanrights.com/private-and-public-sector-guidance/public-sector-providers/public-sector-equality-duty"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Jeanette.binns@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98CA-2C15-462A-9B6C-F5B4C99E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101</TotalTime>
  <Pages>21</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Gorman, Dave</cp:lastModifiedBy>
  <cp:revision>14</cp:revision>
  <cp:lastPrinted>2017-08-31T16:30:00Z</cp:lastPrinted>
  <dcterms:created xsi:type="dcterms:W3CDTF">2017-10-30T08:50:00Z</dcterms:created>
  <dcterms:modified xsi:type="dcterms:W3CDTF">2017-11-03T13:29:00Z</dcterms:modified>
</cp:coreProperties>
</file>